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b253e241efddefb359d15213f040b3828487757"/>
    <w:p>
      <w:pPr>
        <w:pStyle w:val="Heading1"/>
      </w:pPr>
      <w:r>
        <w:t xml:space="preserve">Constellation Energy (CEG)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event date provided is</w:t>
      </w:r>
      <w:r>
        <w:t xml:space="preserve"> </w:t>
      </w:r>
      <w:r>
        <w:rPr>
          <w:b/>
          <w:bCs/>
        </w:rPr>
        <w:t xml:space="preserve">Thursday, August 6, 2026</w:t>
      </w:r>
      <w:r>
        <w:t xml:space="preserve">—which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framed for investors ahead of the reported 2Q26 earnings call.</w:t>
      </w:r>
    </w:p>
    <w:bookmarkStart w:id="9" w:name="X40c9dcb0de3669d104e8596e8a82d331c94d67b"/>
    <w:p>
      <w:pPr>
        <w:pStyle w:val="Heading2"/>
      </w:pPr>
      <w:r>
        <w:t xml:space="preserve">Investment frame: execution and monetization matter more than the quarterly EPS print</w:t>
      </w:r>
    </w:p>
    <w:p>
      <w:pPr>
        <w:pStyle w:val="FirstParagraph"/>
      </w:pPr>
      <w:r>
        <w:t xml:space="preserve">CEG enters 2Q26 as a larger, more diversified power company following the January acquisition of Calpine. The core debate is no longer simply whether nuclear generation is valuable; it is whether Constellation can convert its unusually broad fleet—nuclear, gas, retail, storage and development sites—into</w:t>
      </w:r>
      <w:r>
        <w:t xml:space="preserve"> </w:t>
      </w:r>
      <w:r>
        <w:rPr>
          <w:b/>
          <w:bCs/>
        </w:rPr>
        <w:t xml:space="preserve">durable, premium-priced cash flows</w:t>
      </w:r>
      <w:r>
        <w:t xml:space="preserve"> </w:t>
      </w:r>
      <w:r>
        <w:t xml:space="preserve">amid rapidly rising data-center demand.</w:t>
      </w:r>
    </w:p>
    <w:p>
      <w:pPr>
        <w:pStyle w:val="BodyText"/>
      </w:pPr>
      <w:r>
        <w:t xml:space="preserve">The report should therefore be judged primarily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2026 adjusted operating EPS guidance:</w:t>
      </w:r>
      <w:r>
        <w:t xml:space="preserve"> </w:t>
      </w:r>
      <w:r>
        <w:t xml:space="preserve">Management reaffirmed</w:t>
      </w:r>
      <w:r>
        <w:t xml:space="preserve"> </w:t>
      </w:r>
      <m:oMath>
        <m:r>
          <m:t>11</m:t>
        </m:r>
        <m:r>
          <m:rPr>
            <m:sty m:val="p"/>
          </m:rPr>
          <m:t>–</m:t>
        </m:r>
      </m:oMath>
      <w:r>
        <w:rPr>
          <w:b/>
          <w:bCs/>
        </w:rPr>
        <w:t xml:space="preserve">12 per share</w:t>
      </w:r>
      <w:r>
        <w:t xml:space="preserve"> </w:t>
      </w:r>
      <w:r>
        <w:t xml:space="preserve">after 1Q. A reiteration is the base case; confidence in the upper half matters more than a modest quarterly variance.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Calpine integration:</w:t>
      </w:r>
      <w:r>
        <w:t xml:space="preserve"> </w:t>
      </w:r>
      <w:r>
        <w:t xml:space="preserve">Evidence that acquired gas generation and retail assets are delivering the expected earnings, commercial synergies, and operating reliability.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Large-load/data-center contracting:</w:t>
      </w:r>
      <w:r>
        <w:t xml:space="preserve"> </w:t>
      </w:r>
      <w:r>
        <w:t xml:space="preserve">Especially progress in Texas and a resumption of activity in PJM once the regulatory framework becomes clearer.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Nuclear execution:</w:t>
      </w:r>
      <w:r>
        <w:t xml:space="preserve"> </w:t>
      </w:r>
      <w:r>
        <w:t xml:space="preserve">Refueling-outage performance, unplanned outage days, and the outlook for production tax credits (PTCs).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Capital deployment:</w:t>
      </w:r>
      <w:r>
        <w:t xml:space="preserve"> </w:t>
      </w:r>
      <w:r>
        <w:t xml:space="preserve">Buybacks, debt/credit metrics, the pending asset-sale program, and the balance between organic development and shareholder returns.</w:t>
      </w:r>
    </w:p>
    <w:bookmarkEnd w:id="9"/>
    <w:bookmarkStart w:id="12" w:name="what-management-needs-to-prove"/>
    <w:p>
      <w:pPr>
        <w:pStyle w:val="Heading2"/>
      </w:pPr>
      <w:r>
        <w:t xml:space="preserve">What management needs to prove</w:t>
      </w:r>
    </w:p>
    <w:bookmarkStart w:id="10" w:name="Xa072eee6921cca67d246f9ced3c479c18ebefb7"/>
    <w:p>
      <w:pPr>
        <w:pStyle w:val="Heading3"/>
      </w:pPr>
      <w:r>
        <w:t xml:space="preserve">1. Maintain the</w:t>
      </w:r>
      <w:r>
        <w:t xml:space="preserve"> </w:t>
      </w:r>
      <m:oMath>
        <m:r>
          <m:t>11</m:t>
        </m:r>
        <m:r>
          <m:rPr>
            <m:sty m:val="p"/>
          </m:rPr>
          <m:t>–</m:t>
        </m:r>
      </m:oMath>
      <w:r>
        <w:t xml:space="preserve">12 2026 operating-EPS outlook</w:t>
      </w:r>
    </w:p>
    <w:p>
      <w:pPr>
        <w:pStyle w:val="FirstParagraph"/>
      </w:pPr>
      <w:r>
        <w:t xml:space="preserve">CEG’s 1Q adjusted operating EPS was</w:t>
      </w:r>
      <w:r>
        <w:t xml:space="preserve"> </w:t>
      </w:r>
      <w:r>
        <w:rPr>
          <w:b/>
          <w:bCs/>
        </w:rPr>
        <w:t xml:space="preserve">$2.74</w:t>
      </w:r>
      <w:r>
        <w:t xml:space="preserve">, up from $2.14 a year earlier. The company attributed the improvement largely to Calpine, favorable portfolio/market conditions, lower stock-based compensation, and higher PJM capacity prices; those positives were partly offset by nuclear refueling outages and higher load-serving costs during Winter Storm Fern.</w:t>
      </w:r>
    </w:p>
    <w:p>
      <w:pPr>
        <w:pStyle w:val="BodyText"/>
      </w:pPr>
      <w:r>
        <w:t xml:space="preserve">The numerical headline in 2Q will be noisy because of commodity hedging, fair-value marks, purchase accounting, and Calpine-related amortization/integration charges. Investors should focus on</w:t>
      </w:r>
      <w:r>
        <w:t xml:space="preserve"> </w:t>
      </w:r>
      <w:r>
        <w:rPr>
          <w:b/>
          <w:bCs/>
        </w:rPr>
        <w:t xml:space="preserve">adjusted operating EPS</w:t>
      </w:r>
      <w:r>
        <w:t xml:space="preserve">, the bridge versus prior guidance, and whether management gives a clearer indication of where full-year results may fall within the range.</w:t>
      </w:r>
    </w:p>
    <w:p>
      <w:pPr>
        <w:pStyle w:val="BodyText"/>
      </w:pPr>
      <w:r>
        <w:rPr>
          <w:b/>
          <w:bCs/>
        </w:rPr>
        <w:t xml:space="preserve">Key read-through: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Bullish:</w:t>
      </w:r>
      <w:r>
        <w:t xml:space="preserve"> </w:t>
      </w:r>
      <w:r>
        <w:t xml:space="preserve">Guidance is maintained with commentary that normal operations and commercial margins support the upper half.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Neutral:</w:t>
      </w:r>
      <w:r>
        <w:t xml:space="preserve"> </w:t>
      </w:r>
      <w:r>
        <w:t xml:space="preserve">Guidance is unchanged but management emphasizes variability in outages, weather, or realized margins.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Bearish:</w:t>
      </w:r>
      <w:r>
        <w:t xml:space="preserve"> </w:t>
      </w:r>
      <w:r>
        <w:t xml:space="preserve">A narrower range, an explicit tilt toward the low end, or unexpected cost/availability issues at either the nuclear or gas fleet.</w:t>
      </w:r>
    </w:p>
    <w:bookmarkEnd w:id="10"/>
    <w:bookmarkStart w:id="11" w:name="X37dba4eb0a7084d9df3ceb4d41c2fbf61fb37d9"/>
    <w:p>
      <w:pPr>
        <w:pStyle w:val="Heading3"/>
      </w:pPr>
      <w:r>
        <w:t xml:space="preserve">2. Calpine is now the central execution variable</w:t>
      </w:r>
    </w:p>
    <w:p>
      <w:pPr>
        <w:pStyle w:val="FirstParagraph"/>
      </w:pPr>
      <w:r>
        <w:t xml:space="preserve">Constellation acquired Calpine on January 7 for approximately</w:t>
      </w:r>
      <w:r>
        <w:t xml:space="preserve"> </w:t>
      </w:r>
      <w:r>
        <w:rPr>
          <w:b/>
          <w:bCs/>
        </w:rPr>
        <w:t xml:space="preserve">$21.8 billion</w:t>
      </w:r>
      <w:r>
        <w:t xml:space="preserve">, adding a predominantly gas, geothermal, storage and solar fleet as well as a sizeable retail platform. The acquisition added scale but also increased the importance of gas dispatch, fuel management, integration work, depreciation/amortization and interest expense.</w:t>
      </w:r>
    </w:p>
    <w:p>
      <w:pPr>
        <w:pStyle w:val="BodyText"/>
      </w:pPr>
      <w:r>
        <w:t xml:space="preserve">In 1Q, management said Calpine represented roughly</w:t>
      </w:r>
      <w:r>
        <w:t xml:space="preserve"> </w:t>
      </w:r>
      <w:r>
        <w:rPr>
          <w:b/>
          <w:bCs/>
        </w:rPr>
        <w:t xml:space="preserve">$2 per share of full-year accretion</w:t>
      </w:r>
      <w:r>
        <w:t xml:space="preserve"> </w:t>
      </w:r>
      <w:r>
        <w:t xml:space="preserve">embedded in 2026 guidance. The quarter also introduced an important operating KPI: the natural gas, oil and pumped-storage fleet had a</w:t>
      </w:r>
      <w:r>
        <w:t xml:space="preserve"> </w:t>
      </w:r>
      <w:r>
        <w:rPr>
          <w:b/>
          <w:bCs/>
        </w:rPr>
        <w:t xml:space="preserve">4.5% equivalent forced-outage factor</w:t>
      </w:r>
      <w:r>
        <w:t xml:space="preserve">, while the combined-cycle/cogeneration fleet’s forced-outage factor was 5.1%.</w:t>
      </w:r>
    </w:p>
    <w:p>
      <w:pPr>
        <w:pStyle w:val="BodyText"/>
      </w:pPr>
      <w:r>
        <w:t xml:space="preserve">For 2Q, investors should look for:</w:t>
      </w:r>
    </w:p>
    <w:p>
      <w:pPr>
        <w:pStyle w:val="Compact"/>
        <w:numPr>
          <w:ilvl w:val="0"/>
          <w:numId w:val="1003"/>
        </w:numPr>
      </w:pPr>
      <w:r>
        <w:t xml:space="preserve">Gas-fleet availability and dispatch performance during summer demand;</w:t>
      </w:r>
    </w:p>
    <w:p>
      <w:pPr>
        <w:pStyle w:val="Compact"/>
        <w:numPr>
          <w:ilvl w:val="0"/>
          <w:numId w:val="1003"/>
        </w:numPr>
      </w:pPr>
      <w:r>
        <w:t xml:space="preserve">Progress against integration milestones and cost expectations;</w:t>
      </w:r>
    </w:p>
    <w:p>
      <w:pPr>
        <w:pStyle w:val="Compact"/>
        <w:numPr>
          <w:ilvl w:val="0"/>
          <w:numId w:val="1003"/>
        </w:numPr>
      </w:pPr>
      <w:r>
        <w:t xml:space="preserve">Commercial/retail margin retention and cross-selling opportunities;</w:t>
      </w:r>
    </w:p>
    <w:p>
      <w:pPr>
        <w:pStyle w:val="Compact"/>
        <w:numPr>
          <w:ilvl w:val="0"/>
          <w:numId w:val="1003"/>
        </w:numPr>
      </w:pPr>
      <w:r>
        <w:t xml:space="preserve">Any update on Calpine’s contribution to 2026 EPS and free cash flow;</w:t>
      </w:r>
    </w:p>
    <w:p>
      <w:pPr>
        <w:pStyle w:val="Compact"/>
        <w:numPr>
          <w:ilvl w:val="0"/>
          <w:numId w:val="1003"/>
        </w:numPr>
      </w:pPr>
      <w:r>
        <w:t xml:space="preserve">The status of required divestitures, including the planned sale of five PJM gas plants totaling roughly</w:t>
      </w:r>
      <w:r>
        <w:t xml:space="preserve"> </w:t>
      </w:r>
      <w:r>
        <w:rPr>
          <w:b/>
          <w:bCs/>
        </w:rPr>
        <w:t xml:space="preserve">4.4 GW</w:t>
      </w:r>
      <w:r>
        <w:t xml:space="preserve"> </w:t>
      </w:r>
      <w:r>
        <w:t xml:space="preserve">for</w:t>
      </w:r>
      <w:r>
        <w:t xml:space="preserve"> </w:t>
      </w:r>
      <w:r>
        <w:rPr>
          <w:b/>
          <w:bCs/>
        </w:rPr>
        <w:t xml:space="preserve">$5.0 billion</w:t>
      </w:r>
      <w:r>
        <w:t xml:space="preserve"> </w:t>
      </w:r>
      <w:r>
        <w:t xml:space="preserve">before adjustments.</w:t>
      </w:r>
    </w:p>
    <w:p>
      <w:pPr>
        <w:pStyle w:val="FirstParagraph"/>
      </w:pPr>
      <w:r>
        <w:t xml:space="preserve">The strategic prize is substantial: Calpine gives CEG more dispatchable generation, more customer relationships, and more credible “powered-land” offerings for large loads. But it also makes operating performance and capital discipline more consequential.</w:t>
      </w:r>
    </w:p>
    <w:bookmarkEnd w:id="11"/>
    <w:bookmarkEnd w:id="12"/>
    <w:bookmarkStart w:id="15" w:name="Xa73ff21b2f2e3b244161edc1018fc0b71ec7553"/>
    <w:p>
      <w:pPr>
        <w:pStyle w:val="Heading2"/>
      </w:pPr>
      <w:r>
        <w:t xml:space="preserve">The upside case: data centers and premium power contracts</w:t>
      </w:r>
    </w:p>
    <w:p>
      <w:pPr>
        <w:pStyle w:val="FirstParagraph"/>
      </w:pPr>
      <w:r>
        <w:t xml:space="preserve">CEG’s differentiated opportunity is to sell reliability—not merely merchant megawatt-hours.</w:t>
      </w:r>
    </w:p>
    <w:bookmarkStart w:id="13" w:name="texas-tangible-progress-to-monitor"/>
    <w:p>
      <w:pPr>
        <w:pStyle w:val="Heading3"/>
      </w:pPr>
      <w:r>
        <w:t xml:space="preserve">Texas: tangible progress to monitor</w:t>
      </w:r>
    </w:p>
    <w:p>
      <w:pPr>
        <w:pStyle w:val="FirstParagraph"/>
      </w:pPr>
      <w:r>
        <w:t xml:space="preserve">At Freestone, CEG signed a</w:t>
      </w:r>
      <w:r>
        <w:t xml:space="preserve"> </w:t>
      </w:r>
      <w:r>
        <w:rPr>
          <w:b/>
          <w:bCs/>
        </w:rPr>
        <w:t xml:space="preserve">380 MW</w:t>
      </w:r>
      <w:r>
        <w:t xml:space="preserve"> </w:t>
      </w:r>
      <w:r>
        <w:t xml:space="preserve">agreement with CyrusOne and has an exclusive agreement for a potential additional</w:t>
      </w:r>
      <w:r>
        <w:t xml:space="preserve"> </w:t>
      </w:r>
      <w:r>
        <w:rPr>
          <w:b/>
          <w:bCs/>
        </w:rPr>
        <w:t xml:space="preserve">380 MW</w:t>
      </w:r>
      <w:r>
        <w:t xml:space="preserve"> </w:t>
      </w:r>
      <w:r>
        <w:t xml:space="preserve">Phase 2. The company also cited prior</w:t>
      </w:r>
      <w:r>
        <w:t xml:space="preserve"> </w:t>
      </w:r>
      <w:r>
        <w:rPr>
          <w:b/>
          <w:bCs/>
        </w:rPr>
        <w:t xml:space="preserve">400 MW</w:t>
      </w:r>
      <w:r>
        <w:t xml:space="preserve"> </w:t>
      </w:r>
      <w:r>
        <w:t xml:space="preserve">agreements at the Thad Hill site. The Freestone substation was expected to be energized in the fourth quarter of 2026.</w:t>
      </w:r>
    </w:p>
    <w:p>
      <w:pPr>
        <w:pStyle w:val="BodyText"/>
      </w:pPr>
      <w:r>
        <w:t xml:space="preserve">Questions for the call:</w:t>
      </w:r>
    </w:p>
    <w:p>
      <w:pPr>
        <w:pStyle w:val="Compact"/>
        <w:numPr>
          <w:ilvl w:val="0"/>
          <w:numId w:val="1004"/>
        </w:numPr>
      </w:pPr>
      <w:r>
        <w:t xml:space="preserve">Is the Freestone energization timetable unchanged?</w:t>
      </w:r>
    </w:p>
    <w:p>
      <w:pPr>
        <w:pStyle w:val="Compact"/>
        <w:numPr>
          <w:ilvl w:val="0"/>
          <w:numId w:val="1004"/>
        </w:numPr>
      </w:pPr>
      <w:r>
        <w:t xml:space="preserve">Has Phase 2 moved toward a definitive commitment?</w:t>
      </w:r>
    </w:p>
    <w:p>
      <w:pPr>
        <w:pStyle w:val="Compact"/>
        <w:numPr>
          <w:ilvl w:val="0"/>
          <w:numId w:val="1004"/>
        </w:numPr>
      </w:pPr>
      <w:r>
        <w:t xml:space="preserve">Are additional ERCOT powered-land opportunities nearing announcement?</w:t>
      </w:r>
    </w:p>
    <w:p>
      <w:pPr>
        <w:pStyle w:val="Compact"/>
        <w:numPr>
          <w:ilvl w:val="0"/>
          <w:numId w:val="1004"/>
        </w:numPr>
      </w:pPr>
      <w:r>
        <w:t xml:space="preserve">What does recent summer demand and gas dispatch imply for the value of the Calpine fleet?</w:t>
      </w:r>
    </w:p>
    <w:p>
      <w:pPr>
        <w:pStyle w:val="FirstParagraph"/>
      </w:pPr>
      <w:r>
        <w:t xml:space="preserve">Management previously argued that ERCOT forward power prices beyond 2028–2029 understate potential load growth, while noting the company is well hedged against nearer-term weakness. Investors should expect management to differentiate between</w:t>
      </w:r>
      <w:r>
        <w:t xml:space="preserve"> </w:t>
      </w:r>
      <w:r>
        <w:rPr>
          <w:b/>
          <w:bCs/>
        </w:rPr>
        <w:t xml:space="preserve">near-term merchant-price volatility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longer-dated structural demand</w:t>
      </w:r>
      <w:r>
        <w:t xml:space="preserve">.</w:t>
      </w:r>
    </w:p>
    <w:bookmarkEnd w:id="13"/>
    <w:bookmarkStart w:id="14" w:name="X5a5e68411d83b887012b9aab9650168f99dddb2"/>
    <w:p>
      <w:pPr>
        <w:pStyle w:val="Heading3"/>
      </w:pPr>
      <w:r>
        <w:t xml:space="preserve">PJM: the biggest strategic catalyst, but still a regulatory story</w:t>
      </w:r>
    </w:p>
    <w:p>
      <w:pPr>
        <w:pStyle w:val="FirstParagraph"/>
      </w:pPr>
      <w:r>
        <w:t xml:space="preserve">PJM remains the more valuable—and less settled—data-center opportunity. CEG has discussed approximately</w:t>
      </w:r>
      <w:r>
        <w:t xml:space="preserve"> </w:t>
      </w:r>
      <w:r>
        <w:rPr>
          <w:b/>
          <w:bCs/>
        </w:rPr>
        <w:t xml:space="preserve">5 GW</w:t>
      </w:r>
      <w:r>
        <w:t xml:space="preserve"> </w:t>
      </w:r>
      <w:r>
        <w:t xml:space="preserve">of new capacity resources in the PJM interconnection queue, including nuclear uprates, gas generation and battery storage. Yet customer contracting has been uneven because parties are awaiting clarity on large-load interconnection, colocation, capacity obligations and cost allocation.</w:t>
      </w:r>
    </w:p>
    <w:p>
      <w:pPr>
        <w:pStyle w:val="BodyText"/>
      </w:pPr>
      <w:r>
        <w:t xml:space="preserve">The key question is not whether customers want firm power; it is</w:t>
      </w:r>
      <w:r>
        <w:t xml:space="preserve"> </w:t>
      </w:r>
      <w:r>
        <w:rPr>
          <w:b/>
          <w:bCs/>
        </w:rPr>
        <w:t xml:space="preserve">how quickly PJM and FERC provide a framework that allows customers to contract confidently</w:t>
      </w:r>
      <w:r>
        <w:t xml:space="preserve">.</w:t>
      </w:r>
    </w:p>
    <w:p>
      <w:pPr>
        <w:pStyle w:val="BodyText"/>
      </w:pPr>
      <w:r>
        <w:t xml:space="preserve">What to listen for:</w:t>
      </w:r>
    </w:p>
    <w:p>
      <w:pPr>
        <w:pStyle w:val="Compact"/>
        <w:numPr>
          <w:ilvl w:val="0"/>
          <w:numId w:val="1005"/>
        </w:numPr>
      </w:pPr>
      <w:r>
        <w:t xml:space="preserve">Whether formerly paused hyperscaler conversations are restarting;</w:t>
      </w:r>
    </w:p>
    <w:p>
      <w:pPr>
        <w:pStyle w:val="Compact"/>
        <w:numPr>
          <w:ilvl w:val="0"/>
          <w:numId w:val="1005"/>
        </w:numPr>
      </w:pPr>
      <w:r>
        <w:t xml:space="preserve">Timing of PJM/FERC actions on colocation and reliability-backstop rules;</w:t>
      </w:r>
    </w:p>
    <w:p>
      <w:pPr>
        <w:pStyle w:val="Compact"/>
        <w:numPr>
          <w:ilvl w:val="0"/>
          <w:numId w:val="1005"/>
        </w:numPr>
      </w:pPr>
      <w:r>
        <w:t xml:space="preserve">Any update on specific nuclear-linked contracting opportunities;</w:t>
      </w:r>
    </w:p>
    <w:p>
      <w:pPr>
        <w:pStyle w:val="Compact"/>
        <w:numPr>
          <w:ilvl w:val="0"/>
          <w:numId w:val="1005"/>
        </w:numPr>
      </w:pPr>
      <w:r>
        <w:t xml:space="preserve">Whether CEG sees a path to accelerate the capacity-credit timing for the Crane restart;</w:t>
      </w:r>
    </w:p>
    <w:p>
      <w:pPr>
        <w:pStyle w:val="Compact"/>
        <w:numPr>
          <w:ilvl w:val="0"/>
          <w:numId w:val="1005"/>
        </w:numPr>
      </w:pPr>
      <w:r>
        <w:t xml:space="preserve">Evidence that customers will accept curtailment, self-supply, backup generation, or new-build capacity as part of a contract structure.</w:t>
      </w:r>
    </w:p>
    <w:p>
      <w:pPr>
        <w:pStyle w:val="FirstParagraph"/>
      </w:pPr>
      <w:r>
        <w:t xml:space="preserve">A material contract announcement would be a major upside catalyst. In its absence, constructive commentary and a credible timetable for regulatory resolution would still support the long-term thesis.</w:t>
      </w:r>
    </w:p>
    <w:bookmarkEnd w:id="14"/>
    <w:bookmarkEnd w:id="15"/>
    <w:bookmarkStart w:id="16" w:name="Xdeea0c7a146ceeb3b059e90901853622beeaa72"/>
    <w:p>
      <w:pPr>
        <w:pStyle w:val="Heading2"/>
      </w:pPr>
      <w:r>
        <w:t xml:space="preserve">PJM capacity auction: valuable validation, not a 2026 earnings catalyst</w:t>
      </w:r>
    </w:p>
    <w:p>
      <w:pPr>
        <w:pStyle w:val="FirstParagraph"/>
      </w:pPr>
      <w:r>
        <w:t xml:space="preserve">CEG recently cleared</w:t>
      </w:r>
      <w:r>
        <w:t xml:space="preserve"> </w:t>
      </w:r>
      <w:r>
        <w:rPr>
          <w:b/>
          <w:bCs/>
        </w:rPr>
        <w:t xml:space="preserve">18,875 MW</w:t>
      </w:r>
      <w:r>
        <w:t xml:space="preserve"> </w:t>
      </w:r>
      <w:r>
        <w:t xml:space="preserve">in PJM’s 2028–2029 capacity auction at</w:t>
      </w:r>
      <w:r>
        <w:t xml:space="preserve"> </w:t>
      </w:r>
      <m:oMath>
        <m:r>
          <m:t>325</m:t>
        </m:r>
        <m:r>
          <m:rPr>
            <m:sty m:val="p"/>
          </m:rPr>
          <m:t>/</m:t>
        </m:r>
        <m:r>
          <m:t>M</m:t>
        </m:r>
        <m:r>
          <m:t>W</m:t>
        </m:r>
        <m:r>
          <m:rPr>
            <m:sty m:val="p"/>
          </m:rPr>
          <m:t>−</m:t>
        </m:r>
        <m:r>
          <m:t>d</m:t>
        </m:r>
        <m:r>
          <m:t>a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c</m:t>
        </m:r>
        <m:r>
          <m:t>l</m:t>
        </m:r>
        <m:r>
          <m:t>e</m:t>
        </m:r>
        <m:r>
          <m:t>a</m:t>
        </m:r>
        <m:r>
          <m:t>r</m:t>
        </m:r>
        <m:r>
          <m:t>e</m:t>
        </m:r>
        <m:r>
          <m:t>d</m:t>
        </m:r>
        <m:r>
          <m:t>v</m:t>
        </m:r>
        <m:r>
          <m:t>o</m:t>
        </m:r>
        <m:r>
          <m:t>l</m:t>
        </m:r>
        <m:r>
          <m:t>u</m:t>
        </m:r>
        <m:r>
          <m:t>m</m:t>
        </m:r>
        <m:r>
          <m:t>e</m:t>
        </m:r>
        <m:r>
          <m:t>a</m:t>
        </m:r>
        <m:r>
          <m:t>n</m:t>
        </m:r>
        <m:r>
          <m:t>d</m:t>
        </m:r>
        <m:r>
          <m:t>h</m:t>
        </m:r>
        <m:r>
          <m:t>e</m:t>
        </m:r>
        <m:r>
          <m:t>a</m:t>
        </m:r>
        <m:r>
          <m:t>d</m:t>
        </m:r>
        <m:r>
          <m:t>l</m:t>
        </m:r>
        <m:r>
          <m:t>i</m:t>
        </m:r>
        <m:r>
          <m:t>n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rPr>
            <m:sty m:val="p"/>
          </m:rPr>
          <m:t>,</m:t>
        </m:r>
        <m:r>
          <m:t>t</m:t>
        </m:r>
        <m:r>
          <m:t>h</m:t>
        </m:r>
        <m:r>
          <m:t>a</m:t>
        </m:r>
        <m:r>
          <m:t>t</m:t>
        </m:r>
        <m:r>
          <m:t>e</m:t>
        </m:r>
        <m:r>
          <m:t>q</m:t>
        </m:r>
        <m:r>
          <m:t>u</m:t>
        </m:r>
        <m:r>
          <m:t>a</m:t>
        </m:r>
        <m:r>
          <m:t>t</m:t>
        </m:r>
        <m:r>
          <m:t>e</m:t>
        </m:r>
        <m:r>
          <m:t>s</m:t>
        </m:r>
        <m:r>
          <m:t>t</m:t>
        </m:r>
        <m:r>
          <m:t>o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2.24 billion of annual gross capacity revenue</w:t>
      </w:r>
      <w:r>
        <w:t xml:space="preserve"> </w:t>
      </w:r>
      <w:r>
        <w:t xml:space="preserve">before considering plant-specific factors, hedges, costs, and the interaction with the nuclear PTC.</w:t>
      </w:r>
    </w:p>
    <w:p>
      <w:pPr>
        <w:pStyle w:val="BodyText"/>
      </w:pPr>
      <w:r>
        <w:t xml:space="preserve">This is strategically important because it validates the scarcity value of CEG’s fleet. However, investors should avoid treating the headline calculation as incremental 2026 earnings:</w:t>
      </w:r>
    </w:p>
    <w:p>
      <w:pPr>
        <w:pStyle w:val="Compact"/>
        <w:numPr>
          <w:ilvl w:val="0"/>
          <w:numId w:val="1006"/>
        </w:numPr>
      </w:pPr>
      <w:r>
        <w:t xml:space="preserve">The auction delivery period does not begin until</w:t>
      </w:r>
      <w:r>
        <w:t xml:space="preserve"> </w:t>
      </w:r>
      <w:r>
        <w:rPr>
          <w:b/>
          <w:bCs/>
        </w:rPr>
        <w:t xml:space="preserve">June 1, 2028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Nuclear capacity revenues are included in the gross-receipts calculation for the nuclear PTC, so higher capacity revenue can affect PTC economics.</w:t>
      </w:r>
    </w:p>
    <w:p>
      <w:pPr>
        <w:pStyle w:val="Compact"/>
        <w:numPr>
          <w:ilvl w:val="0"/>
          <w:numId w:val="1006"/>
        </w:numPr>
      </w:pPr>
      <w:r>
        <w:t xml:space="preserve">CEG also serves load, meaning higher capacity prices can raise procurement costs as well as generation revenue.</w:t>
      </w:r>
    </w:p>
    <w:p>
      <w:pPr>
        <w:pStyle w:val="FirstParagraph"/>
      </w:pPr>
      <w:r>
        <w:t xml:space="preserve">The result strengthens the medium-term cash-flow case, but management’s explanation of the</w:t>
      </w:r>
      <w:r>
        <w:t xml:space="preserve"> </w:t>
      </w:r>
      <w:r>
        <w:rPr>
          <w:b/>
          <w:bCs/>
        </w:rPr>
        <w:t xml:space="preserve">net</w:t>
      </w:r>
      <w:r>
        <w:t xml:space="preserve"> </w:t>
      </w:r>
      <w:r>
        <w:t xml:space="preserve">economic impact will matter more than the gross auction figure.</w:t>
      </w:r>
    </w:p>
    <w:bookmarkEnd w:id="16"/>
    <w:bookmarkStart w:id="17" w:name="X40d69a3d2c3d363b2487ea35b68ab8618577d0e"/>
    <w:p>
      <w:pPr>
        <w:pStyle w:val="Heading2"/>
      </w:pPr>
      <w:r>
        <w:t xml:space="preserve">Nuclear: operational consistency remains non-negotiable</w:t>
      </w:r>
    </w:p>
    <w:p>
      <w:pPr>
        <w:pStyle w:val="FirstParagraph"/>
      </w:pPr>
      <w:r>
        <w:t xml:space="preserve">CEG’s nuclear fleet produced</w:t>
      </w:r>
      <w:r>
        <w:t xml:space="preserve"> </w:t>
      </w:r>
      <w:r>
        <w:rPr>
          <w:b/>
          <w:bCs/>
        </w:rPr>
        <w:t xml:space="preserve">44.7 TWh</w:t>
      </w:r>
      <w:r>
        <w:t xml:space="preserve"> </w:t>
      </w:r>
      <w:r>
        <w:t xml:space="preserve">in 1Q, with a</w:t>
      </w:r>
      <w:r>
        <w:t xml:space="preserve"> </w:t>
      </w:r>
      <w:r>
        <w:rPr>
          <w:b/>
          <w:bCs/>
        </w:rPr>
        <w:t xml:space="preserve">92.3%</w:t>
      </w:r>
      <w:r>
        <w:t xml:space="preserve"> </w:t>
      </w:r>
      <w:r>
        <w:t xml:space="preserve">capacity factor excluding Salem and STP. The lower year-over-year result reflected more planned refueling-outage days, while there were no non-refueling outage days at plants it operates.</w:t>
      </w:r>
    </w:p>
    <w:p>
      <w:pPr>
        <w:pStyle w:val="BodyText"/>
      </w:pPr>
      <w:r>
        <w:t xml:space="preserve">For 2Q, focus on:</w:t>
      </w:r>
    </w:p>
    <w:p>
      <w:pPr>
        <w:pStyle w:val="Compact"/>
        <w:numPr>
          <w:ilvl w:val="0"/>
          <w:numId w:val="1007"/>
        </w:numPr>
      </w:pPr>
      <w:r>
        <w:t xml:space="preserve">Actual versus planned refueling and maintenance outage days;</w:t>
      </w:r>
    </w:p>
    <w:p>
      <w:pPr>
        <w:pStyle w:val="Compact"/>
        <w:numPr>
          <w:ilvl w:val="0"/>
          <w:numId w:val="1007"/>
        </w:numPr>
      </w:pPr>
      <w:r>
        <w:t xml:space="preserve">Any forced outages or deratings;</w:t>
      </w:r>
    </w:p>
    <w:p>
      <w:pPr>
        <w:pStyle w:val="Compact"/>
        <w:numPr>
          <w:ilvl w:val="0"/>
          <w:numId w:val="1007"/>
        </w:numPr>
      </w:pPr>
      <w:r>
        <w:t xml:space="preserve">Summer performance and generation volume;</w:t>
      </w:r>
    </w:p>
    <w:p>
      <w:pPr>
        <w:pStyle w:val="Compact"/>
        <w:numPr>
          <w:ilvl w:val="0"/>
          <w:numId w:val="1007"/>
        </w:numPr>
      </w:pPr>
      <w:r>
        <w:t xml:space="preserve">The 2026 nuclear PTC inflation adjustment, expected to be published during the second or third quarter;</w:t>
      </w:r>
    </w:p>
    <w:p>
      <w:pPr>
        <w:pStyle w:val="Compact"/>
        <w:numPr>
          <w:ilvl w:val="0"/>
          <w:numId w:val="1007"/>
        </w:numPr>
      </w:pPr>
      <w:r>
        <w:t xml:space="preserve">Progress on uprates and the Crane restart.</w:t>
      </w:r>
    </w:p>
    <w:p>
      <w:pPr>
        <w:pStyle w:val="FirstParagraph"/>
      </w:pPr>
      <w:r>
        <w:t xml:space="preserve">The nuclear PTC remains a major support to CEG’s base earnings visibility, but its realized value is inherently linked to power prices and interacts with state clean-energy programs. That makes production, realized revenue and contractual structure more important than a simple “PTC received” headline.</w:t>
      </w:r>
    </w:p>
    <w:bookmarkEnd w:id="17"/>
    <w:bookmarkStart w:id="18" w:name="X9f1db336d5e96932a42c4bc9080b97a2933e125"/>
    <w:p>
      <w:pPr>
        <w:pStyle w:val="Heading2"/>
      </w:pPr>
      <w:r>
        <w:t xml:space="preserve">Capital allocation: a potential support for the stock</w:t>
      </w:r>
    </w:p>
    <w:p>
      <w:pPr>
        <w:pStyle w:val="FirstParagraph"/>
      </w:pPr>
      <w:r>
        <w:t xml:space="preserve">CEG has presented a strong cash-generation outlook:</w:t>
      </w:r>
      <w:r>
        <w:t xml:space="preserve"> </w:t>
      </w:r>
      <m:oMath>
        <m:r>
          <m:t>8.4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c</m:t>
        </m:r>
        <m:r>
          <m:t>r</m:t>
        </m:r>
        <m:r>
          <m:t>o</m:t>
        </m:r>
        <m:r>
          <m:t>s</m:t>
        </m:r>
        <m:r>
          <m:t>s</m:t>
        </m:r>
        <m:r>
          <m:t>2026</m:t>
        </m:r>
        <m:r>
          <m:rPr>
            <m:sty m:val="p"/>
          </m:rPr>
          <m:t>–</m:t>
        </m:r>
        <m:r>
          <m:t>2027</m:t>
        </m:r>
        <m:r>
          <m:rPr>
            <m:sty m:val="p"/>
          </m:rPr>
          <m:t>,</m:t>
        </m:r>
        <m:r>
          <m:t>r</m:t>
        </m:r>
        <m:r>
          <m:t>i</m:t>
        </m:r>
        <m:r>
          <m:t>s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11.5–$13.0 billion</w:t>
      </w:r>
      <w:r>
        <w:t xml:space="preserve"> </w:t>
      </w:r>
      <w:r>
        <w:t xml:space="preserve">across 2028–2029. Management has framed its priorities as maintaining investment-grade credit, pursuing double-digit-return growth investments, growing the dividend by 10% annually, and returning surplus capital through buybacks.</w:t>
      </w:r>
    </w:p>
    <w:p>
      <w:pPr>
        <w:pStyle w:val="BodyText"/>
      </w:pPr>
      <w:r>
        <w:t xml:space="preserve">In 1Q, CEG repurchased approximately</w:t>
      </w:r>
      <w:r>
        <w:t xml:space="preserve"> </w:t>
      </w:r>
      <w:r>
        <w:rPr>
          <w:b/>
          <w:bCs/>
        </w:rPr>
        <w:t xml:space="preserve">1.2 million shares</w:t>
      </w:r>
      <w:r>
        <w:t xml:space="preserve"> </w:t>
      </w:r>
      <w:r>
        <w:t xml:space="preserve">for</w:t>
      </w:r>
      <w:r>
        <w:t xml:space="preserve"> </w:t>
      </w:r>
      <m:oMath>
        <m:r>
          <m:t>335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o</m:t>
        </m:r>
        <m:r>
          <m:t>f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285</w:t>
      </w:r>
      <w:r>
        <w:t xml:space="preserve">. The stock closed at</w:t>
      </w:r>
      <w:r>
        <w:t xml:space="preserve"> </w:t>
      </w:r>
      <w:r>
        <w:rPr>
          <w:b/>
          <w:bCs/>
        </w:rPr>
        <w:t xml:space="preserve">$265.16 on August 5</w:t>
      </w:r>
      <w:r>
        <w:t xml:space="preserve">, down about 3.8% from its July 23 closing high of $275.60, suggesting the market is awaiting clearer evidence on the pace of data-center monetization and integration execution.</w:t>
      </w:r>
    </w:p>
    <w:p>
      <w:pPr>
        <w:pStyle w:val="BodyText"/>
      </w:pPr>
      <w:r>
        <w:t xml:space="preserve">The earnings call should clarify:</w:t>
      </w:r>
    </w:p>
    <w:p>
      <w:pPr>
        <w:pStyle w:val="Compact"/>
        <w:numPr>
          <w:ilvl w:val="0"/>
          <w:numId w:val="1008"/>
        </w:numPr>
      </w:pPr>
      <w:r>
        <w:t xml:space="preserve">Whether buybacks continued following the June 30 expiration of the first Calpine-share lockup tranche;</w:t>
      </w:r>
    </w:p>
    <w:p>
      <w:pPr>
        <w:pStyle w:val="Compact"/>
        <w:numPr>
          <w:ilvl w:val="0"/>
          <w:numId w:val="1008"/>
        </w:numPr>
      </w:pPr>
      <w:r>
        <w:t xml:space="preserve">How the pending asset divestitures affect leverage and liquidity;</w:t>
      </w:r>
    </w:p>
    <w:p>
      <w:pPr>
        <w:pStyle w:val="Compact"/>
        <w:numPr>
          <w:ilvl w:val="0"/>
          <w:numId w:val="1008"/>
        </w:numPr>
      </w:pPr>
      <w:r>
        <w:t xml:space="preserve">Whether management sees more organic development projects clearing its return hurdle;</w:t>
      </w:r>
    </w:p>
    <w:p>
      <w:pPr>
        <w:pStyle w:val="Compact"/>
        <w:numPr>
          <w:ilvl w:val="0"/>
          <w:numId w:val="1008"/>
        </w:numPr>
      </w:pPr>
      <w:r>
        <w:t xml:space="preserve">Whether the company plans to reserve capital for larger strategic opportunities versus accelerate repurchases.</w:t>
      </w:r>
    </w:p>
    <w:bookmarkEnd w:id="18"/>
    <w:bookmarkStart w:id="19" w:name="key-risks-into-the-print"/>
    <w:p>
      <w:pPr>
        <w:pStyle w:val="Heading2"/>
      </w:pPr>
      <w:r>
        <w:t xml:space="preserve">Key risks into the print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Why it matters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Nuclear outages or longer refueling work</w:t>
            </w:r>
          </w:p>
        </w:tc>
        <w:tc>
          <w:tcPr/>
          <w:p>
            <w:pPr>
              <w:pStyle w:val="Compact"/>
            </w:pPr>
            <w:r>
              <w:t xml:space="preserve">Lost generation can quickly pressure earnings and undermine the core reliability narrative.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Calpine integration misses</w:t>
            </w:r>
          </w:p>
        </w:tc>
        <w:tc>
          <w:tcPr/>
          <w:p>
            <w:pPr>
              <w:pStyle w:val="Compact"/>
            </w:pPr>
            <w:r>
              <w:t xml:space="preserve">The deal is central to 2026 earnings and long-term commercial strategy; cost or availability problems would matter.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PJM regulatory delay</w:t>
            </w:r>
          </w:p>
        </w:tc>
        <w:tc>
          <w:tcPr/>
          <w:p>
            <w:pPr>
              <w:pStyle w:val="Compact"/>
            </w:pPr>
            <w:r>
              <w:t xml:space="preserve">Delays could postpone data-center contracts and reduce visibility into the timing of upside opportunities.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Weak near-term ERCOT pricing</w:t>
            </w:r>
          </w:p>
        </w:tc>
        <w:tc>
          <w:tcPr/>
          <w:p>
            <w:pPr>
              <w:pStyle w:val="Compact"/>
            </w:pPr>
            <w:r>
              <w:t xml:space="preserve">CEG views longer-dated ERCOT pricing as undervalued, but near-term merchant conditions can still affect sentiment and realized results.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Higher interest expense / leverage concerns</w:t>
            </w:r>
          </w:p>
        </w:tc>
        <w:tc>
          <w:tcPr/>
          <w:p>
            <w:pPr>
              <w:pStyle w:val="Compact"/>
            </w:pPr>
            <w:r>
              <w:t xml:space="preserve">Calpine increased the company’s debt burden and financial complexity, even though credit ratings were affirmed after closing.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PTC and state-program offsets</w:t>
            </w:r>
          </w:p>
        </w:tc>
        <w:tc>
          <w:tcPr/>
          <w:p>
            <w:pPr>
              <w:pStyle w:val="Compact"/>
            </w:pPr>
            <w:r>
              <w:t xml:space="preserve">Higher market revenues can reduce PTC value and trigger pass-through/refund mechanisms in certain state programs.</w:t>
            </w:r>
          </w:p>
        </w:tc>
      </w:tr>
    </w:tbl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CEG’s 2Q report is likely to be less about a single-quarter EPS beat and more about whether the company is</w:t>
      </w:r>
      <w:r>
        <w:t xml:space="preserve"> </w:t>
      </w:r>
      <w:r>
        <w:rPr>
          <w:b/>
          <w:bCs/>
        </w:rPr>
        <w:t xml:space="preserve">de-risking the 2026–2029 earnings and cash-flow algorithm</w:t>
      </w:r>
      <w:r>
        <w:t xml:space="preserve">.</w:t>
      </w:r>
    </w:p>
    <w:p>
      <w:pPr>
        <w:pStyle w:val="BodyText"/>
      </w:pPr>
      <w:r>
        <w:t xml:space="preserve">The most constructive outcome would pair maintained 2026 guidance—preferably with confidence toward the upper half—with:</w:t>
      </w:r>
    </w:p>
    <w:p>
      <w:pPr>
        <w:pStyle w:val="Compact"/>
        <w:numPr>
          <w:ilvl w:val="0"/>
          <w:numId w:val="1009"/>
        </w:numPr>
      </w:pPr>
      <w:r>
        <w:t xml:space="preserve">clean nuclear and gas-fleet operations,</w:t>
      </w:r>
    </w:p>
    <w:p>
      <w:pPr>
        <w:pStyle w:val="Compact"/>
        <w:numPr>
          <w:ilvl w:val="0"/>
          <w:numId w:val="1009"/>
        </w:numPr>
      </w:pPr>
      <w:r>
        <w:t xml:space="preserve">clear Calpine integration progress,</w:t>
      </w:r>
    </w:p>
    <w:p>
      <w:pPr>
        <w:pStyle w:val="Compact"/>
        <w:numPr>
          <w:ilvl w:val="0"/>
          <w:numId w:val="1009"/>
        </w:numPr>
      </w:pPr>
      <w:r>
        <w:t xml:space="preserve">confirmation that Texas data-center projects remain on schedule,</w:t>
      </w:r>
    </w:p>
    <w:p>
      <w:pPr>
        <w:pStyle w:val="Compact"/>
        <w:numPr>
          <w:ilvl w:val="0"/>
          <w:numId w:val="1009"/>
        </w:numPr>
      </w:pPr>
      <w:r>
        <w:t xml:space="preserve">evidence that PJM customer discussions are reaccelerating, and</w:t>
      </w:r>
    </w:p>
    <w:p>
      <w:pPr>
        <w:pStyle w:val="Compact"/>
        <w:numPr>
          <w:ilvl w:val="0"/>
          <w:numId w:val="1009"/>
        </w:numPr>
      </w:pPr>
      <w:r>
        <w:t xml:space="preserve">disciplined buyback/deleveraging/development capital allocation.</w:t>
      </w:r>
    </w:p>
    <w:p>
      <w:pPr>
        <w:pStyle w:val="FirstParagraph"/>
      </w:pPr>
      <w:r>
        <w:t xml:space="preserve">The biggest disappointment would be a combination of operational friction, a less confident full-year outlook, and further evidence that PJM regulatory uncertainty is keeping premium large-load contracts on hold.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2026-08-06T00:35:49Z</dcterms:created>
  <dcterms:modified xsi:type="dcterms:W3CDTF">2026-08-06T00:35:49Z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