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eg-earnings-predictions--2026-08-06"/>
    <w:p>
      <w:pPr>
        <w:pStyle w:val="Heading1"/>
      </w:pPr>
      <w:r>
        <w:t xml:space="preserve">CEG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~$2.55 vs. cons $2.31 (+10.4%)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Nuclear Capacity Factor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~87-88% vs. cons UNVERIFIED (structural +8pp beat pattern every quarter)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Hyperscaler Deal Announcement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no new signed deal vs. elevated buy-side expectation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Operating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affirm</w:t>
            </w:r>
            <w:r>
              <w:t xml:space="preserve"> </w:t>
            </w:r>
            <m:oMath>
              <m:r>
                <m:t>11</m:t>
              </m:r>
              <m:r>
                <m:rPr>
                  <m:sty m:val="p"/>
                </m:rPr>
                <m:t>−</m:t>
              </m:r>
            </m:oMath>
            <w:r>
              <w:t xml:space="preserve">12 (mid $11.50) vs. cons $11.61; possible tighten floor to $11.50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Hyperscaler pipeline / tone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constructive update, no new signed deal, FERC clarity still pending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FADE — revisions drift lower as market processes implicit H2 cut; no deal removes multiple re-rating catalyst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2026-08-08T02:01:07Z</dcterms:created>
  <dcterms:modified xsi:type="dcterms:W3CDTF">2026-08-08T02:01:07Z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