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Constellation Energy Corporation (CEG)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Constellation Energy Corporation</w:t>
            </w:r>
          </w:p>
        </w:tc>
        <w:tc>
          <w:tcPr>
            <w:tcW w:type="dxa" w:w="2160"/>
          </w:tcPr>
          <w:p>
            <w:r>
              <w:rPr>
                <w:rFonts w:ascii="Calibri" w:hAnsi="Calibri"/>
                <w:b/>
                <w:sz w:val="22"/>
              </w:rPr>
              <w:t>Ticker</w:t>
            </w:r>
          </w:p>
        </w:tc>
        <w:tc>
          <w:tcPr>
            <w:tcW w:type="dxa" w:w="2160"/>
          </w:tcPr>
          <w:p>
            <w:r>
              <w:rPr>
                <w:rFonts w:ascii="Calibri" w:hAnsi="Calibri"/>
                <w:sz w:val="22"/>
              </w:rPr>
              <w:t>CEG</w:t>
            </w:r>
          </w:p>
        </w:tc>
      </w:tr>
      <w:tr>
        <w:tc>
          <w:tcPr>
            <w:tcW w:type="dxa" w:w="2160"/>
          </w:tcPr>
          <w:p>
            <w:r>
              <w:rPr>
                <w:rFonts w:ascii="Calibri" w:hAnsi="Calibri"/>
                <w:b/>
                <w:sz w:val="22"/>
              </w:rPr>
              <w:t>Upcoming Earnings</w:t>
            </w:r>
          </w:p>
        </w:tc>
        <w:tc>
          <w:tcPr>
            <w:tcW w:type="dxa" w:w="2160"/>
          </w:tcPr>
          <w:p>
            <w:r>
              <w:rPr>
                <w:rFonts w:ascii="Calibri" w:hAnsi="Calibri"/>
                <w:sz w:val="22"/>
              </w:rPr>
              <w:t>Q2 2026 (reporting imminently)</w:t>
            </w:r>
          </w:p>
        </w:tc>
        <w:tc>
          <w:tcPr>
            <w:tcW w:type="dxa" w:w="2160"/>
          </w:tcPr>
          <w:p>
            <w:r>
              <w:rPr>
                <w:rFonts w:ascii="Calibri" w:hAnsi="Calibri"/>
                <w:b/>
                <w:sz w:val="22"/>
              </w:rPr>
              <w:t>Prepared</w:t>
            </w:r>
          </w:p>
        </w:tc>
        <w:tc>
          <w:tcPr>
            <w:tcW w:type="dxa" w:w="2160"/>
          </w:tcPr>
          <w:p>
            <w:r>
              <w:rPr>
                <w:rFonts w:ascii="Calibri" w:hAnsi="Calibri"/>
                <w:sz w:val="22"/>
              </w:rPr>
              <w:t>August 5, 2026</w:t>
            </w:r>
          </w:p>
        </w:tc>
      </w:tr>
      <w:tr>
        <w:tc>
          <w:tcPr>
            <w:tcW w:type="dxa" w:w="2160"/>
          </w:tcPr>
          <w:p>
            <w:r>
              <w:rPr>
                <w:rFonts w:ascii="Calibri" w:hAnsi="Calibri"/>
                <w:b/>
                <w:sz w:val="22"/>
              </w:rPr>
              <w:t>Last Earnings</w:t>
            </w:r>
          </w:p>
        </w:tc>
        <w:tc>
          <w:tcPr>
            <w:tcW w:type="dxa" w:w="2160"/>
          </w:tcPr>
          <w:p>
            <w:r>
              <w:rPr>
                <w:rFonts w:ascii="Calibri" w:hAnsi="Calibri"/>
                <w:sz w:val="22"/>
              </w:rPr>
              <w:t>Q1 2026 — May 11, 2026</w:t>
            </w:r>
          </w:p>
        </w:tc>
        <w:tc>
          <w:tcPr>
            <w:tcW w:type="dxa" w:w="2160"/>
          </w:tcPr>
          <w:p>
            <w:r>
              <w:rPr>
                <w:rFonts w:ascii="Calibri" w:hAnsi="Calibri"/>
                <w:b/>
                <w:sz w:val="22"/>
              </w:rPr>
              <w:t>Sector ETF</w:t>
            </w:r>
          </w:p>
        </w:tc>
        <w:tc>
          <w:tcPr>
            <w:tcW w:type="dxa" w:w="2160"/>
          </w:tcPr>
          <w:p>
            <w:r>
              <w:rPr>
                <w:rFonts w:ascii="Calibri" w:hAnsi="Calibri"/>
                <w:sz w:val="22"/>
              </w:rPr>
              <w:t>XLU (Utilities Select Sector SPDR)</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is moderately constructive — consensus sits at $2.31 adjusted operating EPS for Q2 2026, a bar CEG has consistently cleared, but the bigger swing factor is whether management signals progress on hyperscaler deal closings and provides any color on the upper half of FY2026 guidance ($11–$12/share).</w:t>
      </w:r>
    </w:p>
    <w:p>
      <w:r>
        <w:rPr>
          <w:rFonts w:ascii="Calibri" w:hAnsi="Calibri"/>
          <w:color w:val="525866"/>
          <w:sz w:val="22"/>
        </w:rPr>
        <w:t xml:space="preserve">Heading into Q2 2026 results, the bar for CEG looks beatable on the core nuclear operations side — the fleet ran at a 92.3% capacity factor in Q1 and the company has a track record of operational outperformance — but the stock has already given back roughly </w:t>
      </w:r>
      <w:r>
        <w:rPr>
          <w:rFonts w:ascii="Calibri" w:hAnsi="Calibri"/>
          <w:b/>
          <w:color w:val="525866"/>
          <w:sz w:val="22"/>
        </w:rPr>
        <w:t>11.5%</w:t>
      </w:r>
      <w:r>
        <w:rPr>
          <w:rFonts w:ascii="Calibri" w:hAnsi="Calibri"/>
          <w:color w:val="525866"/>
          <w:sz w:val="22"/>
        </w:rPr>
        <w:t xml:space="preserve"> since the Q1 print (vs. XLU −3.3% and SPY +4.1%), suggesting the market is pricing in execution risk rather than a clean beat. Management affirmed FY2026 adjusted operating EPS guidance of </w:t>
      </w:r>
      <w:r>
        <w:rPr>
          <w:rFonts w:ascii="Calibri" w:hAnsi="Calibri"/>
          <w:b/>
          <w:color w:val="525866"/>
          <w:sz w:val="22"/>
        </w:rPr>
        <w:t>$11.00–$12.00/share</w:t>
      </w:r>
      <w:r>
        <w:rPr>
          <w:rFonts w:ascii="Calibri" w:hAnsi="Calibri"/>
          <w:color w:val="525866"/>
          <w:sz w:val="22"/>
        </w:rPr>
        <w:t xml:space="preserve"> on the Q1 call but explicitly noted it needed “at least another quarter of data” before expressing confidence in the upper half of the range, leaving the tone cautious-to-neutral. Estimate revisions have been modestly positive since the Q1 print, with the Q2 2026 consensus moving from $2.47 (as of May 16) to $2.31 currently, a slight downward drift that likely reflects the absence of new hyperscaler deal announcements and softer near-term power price dynamics in ERCOT. The stock’s de-rating from its post-Calpine close highs reflects multiple compression as the market awaits regulatory clarity on co-location rules from FERC and PJM, with the </w:t>
      </w:r>
      <w:r>
        <w:rPr>
          <w:rFonts w:ascii="Calibri" w:hAnsi="Calibri"/>
          <w:b/>
          <w:color w:val="525866"/>
          <w:sz w:val="22"/>
        </w:rPr>
        <w:t>PJM capacity auction result of $325/MW for 18,875 MW of CEG capacity</w:t>
      </w:r>
      <w:r>
        <w:rPr>
          <w:rFonts w:ascii="Calibri" w:hAnsi="Calibri"/>
          <w:color w:val="525866"/>
          <w:sz w:val="22"/>
        </w:rPr>
        <w:t xml:space="preserve"> (announced July 14) providing a meaningful earnings tailwind for 2028–2029 that is not yet fully in near-term numbers. The single biggest wildcard is whether management provides any signal on imminent hyperscaler deal closings or upgrades its confidence in the upper half of FY2026 guidance — either would likely re-rate the stock sharply higher from current levels.</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sets a manageable bar on adjusted operating EPS ($2.31 for Q2 2026 vs. $1.91 in Q2 2025), but the bigger swing factor is nuclear capacity factor and any forward commentary on commercial margins and hyperscaler deal pipeline — the latter is not in consensus numbers but will drive the stock reaction.</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Adj. Operating EPS ($)</w:t>
            </w:r>
          </w:p>
        </w:tc>
        <w:tc>
          <w:tcPr>
            <w:tcW w:type="dxa" w:w="1234"/>
          </w:tcPr>
          <w:p>
            <w:r>
              <w:rPr>
                <w:rFonts w:ascii="Calibri" w:hAnsi="Calibri"/>
                <w:sz w:val="22"/>
              </w:rPr>
              <w:t>$2.74</w:t>
            </w:r>
          </w:p>
        </w:tc>
        <w:tc>
          <w:tcPr>
            <w:tcW w:type="dxa" w:w="1234"/>
          </w:tcPr>
          <w:p>
            <w:r>
              <w:rPr>
                <w:rFonts w:ascii="Calibri" w:hAnsi="Calibri"/>
                <w:sz w:val="22"/>
              </w:rPr>
              <w:t>$1.91</w:t>
            </w:r>
          </w:p>
        </w:tc>
        <w:tc>
          <w:tcPr>
            <w:tcW w:type="dxa" w:w="1234"/>
          </w:tcPr>
          <w:p>
            <w:r>
              <w:rPr>
                <w:rFonts w:ascii="Calibri" w:hAnsi="Calibri"/>
                <w:sz w:val="22"/>
              </w:rPr>
              <w:t>$2.31</w:t>
            </w:r>
          </w:p>
        </w:tc>
        <w:tc>
          <w:tcPr>
            <w:tcW w:type="dxa" w:w="1234"/>
          </w:tcPr>
          <w:p>
            <w:r>
              <w:rPr>
                <w:rFonts w:ascii="Calibri" w:hAnsi="Calibri"/>
                <w:sz w:val="22"/>
              </w:rPr>
              <w:t>+21.2% YoY</w:t>
            </w:r>
          </w:p>
        </w:tc>
        <w:tc>
          <w:tcPr>
            <w:tcW w:type="dxa" w:w="1234"/>
          </w:tcPr>
          <w:p>
            <w:r>
              <w:rPr>
                <w:rFonts w:ascii="Calibri" w:hAnsi="Calibri"/>
                <w:sz w:val="22"/>
              </w:rPr>
              <w:t>$11.00–$12.00 (FY)</w:t>
            </w:r>
          </w:p>
        </w:tc>
        <w:tc>
          <w:tcPr>
            <w:tcW w:type="dxa" w:w="1234"/>
          </w:tcPr>
          <w:p>
            <w:r>
              <w:rPr>
                <w:rFonts w:ascii="Calibri" w:hAnsi="Calibri"/>
                <w:sz w:val="22"/>
              </w:rPr>
              <w:t>N/A (quarterly vs. FY)</w:t>
            </w:r>
          </w:p>
        </w:tc>
      </w:tr>
      <w:tr>
        <w:tc>
          <w:tcPr>
            <w:tcW w:type="dxa" w:w="1234"/>
          </w:tcPr>
          <w:p>
            <w:r>
              <w:rPr>
                <w:rFonts w:ascii="Calibri" w:hAnsi="Calibri"/>
                <w:sz w:val="22"/>
              </w:rPr>
              <w:t>Total Revenue — Operating ($B)</w:t>
            </w:r>
          </w:p>
        </w:tc>
        <w:tc>
          <w:tcPr>
            <w:tcW w:type="dxa" w:w="1234"/>
          </w:tcPr>
          <w:p>
            <w:r>
              <w:rPr>
                <w:rFonts w:ascii="Calibri" w:hAnsi="Calibri"/>
                <w:sz w:val="22"/>
              </w:rPr>
              <w:t>$10.01B</w:t>
            </w:r>
          </w:p>
        </w:tc>
        <w:tc>
          <w:tcPr>
            <w:tcW w:type="dxa" w:w="1234"/>
          </w:tcPr>
          <w:p>
            <w:r>
              <w:rPr>
                <w:rFonts w:ascii="Calibri" w:hAnsi="Calibri"/>
                <w:sz w:val="22"/>
              </w:rPr>
              <w:t>$6.01B</w:t>
            </w:r>
          </w:p>
        </w:tc>
        <w:tc>
          <w:tcPr>
            <w:tcW w:type="dxa" w:w="1234"/>
          </w:tcPr>
          <w:p>
            <w:r>
              <w:rPr>
                <w:rFonts w:ascii="Calibri" w:hAnsi="Calibri"/>
                <w:sz w:val="22"/>
              </w:rPr>
              <w:t>$8.25B</w:t>
            </w:r>
          </w:p>
        </w:tc>
        <w:tc>
          <w:tcPr>
            <w:tcW w:type="dxa" w:w="1234"/>
          </w:tcPr>
          <w:p>
            <w:r>
              <w:rPr>
                <w:rFonts w:ascii="Calibri" w:hAnsi="Calibri"/>
                <w:sz w:val="22"/>
              </w:rPr>
              <w:t>+37.2% YoY</w:t>
            </w:r>
          </w:p>
        </w:tc>
        <w:tc>
          <w:tcPr>
            <w:tcW w:type="dxa" w:w="1234"/>
          </w:tcPr>
          <w:p>
            <w:r>
              <w:rPr>
                <w:rFonts w:ascii="Calibri" w:hAnsi="Calibri"/>
                <w:sz w:val="22"/>
              </w:rPr>
              <w:t>N/A (no quarterly rev. guidance)</w:t>
            </w:r>
          </w:p>
        </w:tc>
        <w:tc>
          <w:tcPr>
            <w:tcW w:type="dxa" w:w="1234"/>
          </w:tcPr>
          <w:p>
            <w:r>
              <w:rPr>
                <w:rFonts w:ascii="Calibri" w:hAnsi="Calibri"/>
                <w:sz w:val="22"/>
              </w:rPr>
              <w:t>N/A</w:t>
            </w:r>
          </w:p>
        </w:tc>
      </w:tr>
      <w:tr>
        <w:tc>
          <w:tcPr>
            <w:tcW w:type="dxa" w:w="1234"/>
          </w:tcPr>
          <w:p>
            <w:r>
              <w:rPr>
                <w:rFonts w:ascii="Calibri" w:hAnsi="Calibri"/>
                <w:sz w:val="22"/>
              </w:rPr>
              <w:t>Nuclear Capacity Factor (%)</w:t>
            </w:r>
          </w:p>
        </w:tc>
        <w:tc>
          <w:tcPr>
            <w:tcW w:type="dxa" w:w="1234"/>
          </w:tcPr>
          <w:p>
            <w:r>
              <w:rPr>
                <w:rFonts w:ascii="Calibri" w:hAnsi="Calibri"/>
                <w:sz w:val="22"/>
              </w:rPr>
              <w:t>92.3% (actual: 83.96%)</w:t>
            </w:r>
          </w:p>
        </w:tc>
        <w:tc>
          <w:tcPr>
            <w:tcW w:type="dxa" w:w="1234"/>
          </w:tcPr>
          <w:p>
            <w:r>
              <w:rPr>
                <w:rFonts w:ascii="Calibri" w:hAnsi="Calibri"/>
                <w:sz w:val="22"/>
              </w:rPr>
              <w:t>78.9%</w:t>
            </w:r>
          </w:p>
        </w:tc>
        <w:tc>
          <w:tcPr>
            <w:tcW w:type="dxa" w:w="1234"/>
          </w:tcPr>
          <w:p>
            <w:r>
              <w:rPr>
                <w:rFonts w:ascii="Calibri" w:hAnsi="Calibri"/>
                <w:sz w:val="22"/>
              </w:rPr>
              <w:t>~87.97% (VA consensus)</w:t>
            </w:r>
          </w:p>
        </w:tc>
        <w:tc>
          <w:tcPr>
            <w:tcW w:type="dxa" w:w="1234"/>
          </w:tcPr>
          <w:p>
            <w:r>
              <w:rPr>
                <w:rFonts w:ascii="Calibri" w:hAnsi="Calibri"/>
                <w:sz w:val="22"/>
              </w:rPr>
              <w:t>+~9 ppts YoY</w:t>
            </w:r>
          </w:p>
        </w:tc>
        <w:tc>
          <w:tcPr>
            <w:tcW w:type="dxa" w:w="1234"/>
          </w:tcPr>
          <w:p>
            <w:r>
              <w:rPr>
                <w:rFonts w:ascii="Calibri" w:hAnsi="Calibri"/>
                <w:sz w:val="22"/>
              </w:rPr>
              <w:t>N/A (no explicit guidance)</w:t>
            </w:r>
          </w:p>
        </w:tc>
        <w:tc>
          <w:tcPr>
            <w:tcW w:type="dxa" w:w="1234"/>
          </w:tcPr>
          <w:p>
            <w:r>
              <w:rPr>
                <w:rFonts w:ascii="Calibri" w:hAnsi="Calibri"/>
                <w:sz w:val="22"/>
              </w:rPr>
              <w:t>N/A</w:t>
            </w:r>
          </w:p>
        </w:tc>
      </w:tr>
      <w:tr>
        <w:tc>
          <w:tcPr>
            <w:tcW w:type="dxa" w:w="1234"/>
          </w:tcPr>
          <w:p>
            <w:r>
              <w:rPr>
                <w:rFonts w:ascii="Calibri" w:hAnsi="Calibri"/>
                <w:sz w:val="22"/>
              </w:rPr>
              <w:t>Capacity Revenue ($M)</w:t>
            </w:r>
          </w:p>
        </w:tc>
        <w:tc>
          <w:tcPr>
            <w:tcW w:type="dxa" w:w="1234"/>
          </w:tcPr>
          <w:p>
            <w:r>
              <w:rPr>
                <w:rFonts w:ascii="Calibri" w:hAnsi="Calibri"/>
                <w:sz w:val="22"/>
              </w:rPr>
              <w:t>$1,058.6M</w:t>
            </w:r>
          </w:p>
        </w:tc>
        <w:tc>
          <w:tcPr>
            <w:tcW w:type="dxa" w:w="1234"/>
          </w:tcPr>
          <w:p>
            <w:r>
              <w:rPr>
                <w:rFonts w:ascii="Calibri" w:hAnsi="Calibri"/>
                <w:sz w:val="22"/>
              </w:rPr>
              <w:t>$569.1M</w:t>
            </w:r>
          </w:p>
        </w:tc>
        <w:tc>
          <w:tcPr>
            <w:tcW w:type="dxa" w:w="1234"/>
          </w:tcPr>
          <w:p>
            <w:r>
              <w:rPr>
                <w:rFonts w:ascii="Calibri" w:hAnsi="Calibri"/>
                <w:sz w:val="22"/>
              </w:rPr>
              <w:t>$1,058.6M (VA consensus)</w:t>
            </w:r>
          </w:p>
        </w:tc>
        <w:tc>
          <w:tcPr>
            <w:tcW w:type="dxa" w:w="1234"/>
          </w:tcPr>
          <w:p>
            <w:r>
              <w:rPr>
                <w:rFonts w:ascii="Calibri" w:hAnsi="Calibri"/>
                <w:sz w:val="22"/>
              </w:rPr>
              <w:t>+86.0% YoY</w:t>
            </w:r>
          </w:p>
        </w:tc>
        <w:tc>
          <w:tcPr>
            <w:tcW w:type="dxa" w:w="1234"/>
          </w:tcPr>
          <w:p>
            <w:r>
              <w:rPr>
                <w:rFonts w:ascii="Calibri" w:hAnsi="Calibri"/>
                <w:sz w:val="22"/>
              </w:rPr>
              <w:t>N/A (no quarterly guidance)</w:t>
            </w:r>
          </w:p>
        </w:tc>
        <w:tc>
          <w:tcPr>
            <w:tcW w:type="dxa" w:w="1234"/>
          </w:tcPr>
          <w:p>
            <w:r>
              <w:rPr>
                <w:rFonts w:ascii="Calibri" w:hAnsi="Calibri"/>
                <w:sz w:val="22"/>
              </w:rPr>
              <w:t>N/A</w:t>
            </w:r>
          </w:p>
        </w:tc>
      </w:tr>
      <w:tr>
        <w:tc>
          <w:tcPr>
            <w:tcW w:type="dxa" w:w="1234"/>
          </w:tcPr>
          <w:p>
            <w:r>
              <w:rPr>
                <w:rFonts w:ascii="Calibri" w:hAnsi="Calibri"/>
                <w:sz w:val="22"/>
              </w:rPr>
              <w:t>O&amp;M Expenses — Operating ($B)</w:t>
            </w:r>
          </w:p>
        </w:tc>
        <w:tc>
          <w:tcPr>
            <w:tcW w:type="dxa" w:w="1234"/>
          </w:tcPr>
          <w:p>
            <w:r>
              <w:rPr>
                <w:rFonts w:ascii="Calibri" w:hAnsi="Calibri"/>
                <w:sz w:val="22"/>
              </w:rPr>
              <w:t>$1.849B</w:t>
            </w:r>
          </w:p>
        </w:tc>
        <w:tc>
          <w:tcPr>
            <w:tcW w:type="dxa" w:w="1234"/>
          </w:tcPr>
          <w:p>
            <w:r>
              <w:rPr>
                <w:rFonts w:ascii="Calibri" w:hAnsi="Calibri"/>
                <w:sz w:val="22"/>
              </w:rPr>
              <w:t>$1.541B</w:t>
            </w:r>
          </w:p>
        </w:tc>
        <w:tc>
          <w:tcPr>
            <w:tcW w:type="dxa" w:w="1234"/>
          </w:tcPr>
          <w:p>
            <w:r>
              <w:rPr>
                <w:rFonts w:ascii="Calibri" w:hAnsi="Calibri"/>
                <w:sz w:val="22"/>
              </w:rPr>
              <w:t>$1.788B (VA consensus)</w:t>
            </w:r>
          </w:p>
        </w:tc>
        <w:tc>
          <w:tcPr>
            <w:tcW w:type="dxa" w:w="1234"/>
          </w:tcPr>
          <w:p>
            <w:r>
              <w:rPr>
                <w:rFonts w:ascii="Calibri" w:hAnsi="Calibri"/>
                <w:sz w:val="22"/>
              </w:rPr>
              <w:t>+16.0% YoY</w:t>
            </w:r>
          </w:p>
        </w:tc>
        <w:tc>
          <w:tcPr>
            <w:tcW w:type="dxa" w:w="1234"/>
          </w:tcPr>
          <w:p>
            <w:r>
              <w:rPr>
                <w:rFonts w:ascii="Calibri" w:hAnsi="Calibri"/>
                <w:sz w:val="22"/>
              </w:rPr>
              <w:t>($6,900M) FY adj. O&amp;M</w:t>
            </w:r>
          </w:p>
        </w:tc>
        <w:tc>
          <w:tcPr>
            <w:tcW w:type="dxa" w:w="1234"/>
          </w:tcPr>
          <w:p>
            <w:r>
              <w:rPr>
                <w:rFonts w:ascii="Calibri" w:hAnsi="Calibri"/>
                <w:sz w:val="22"/>
              </w:rPr>
              <w:t>N/A (quarterly vs. FY)</w:t>
            </w:r>
          </w:p>
        </w:tc>
      </w:tr>
      <w:tr>
        <w:tc>
          <w:tcPr>
            <w:tcW w:type="dxa" w:w="1234"/>
          </w:tcPr>
          <w:p>
            <w:r>
              <w:rPr>
                <w:rFonts w:ascii="Calibri" w:hAnsi="Calibri"/>
                <w:sz w:val="22"/>
              </w:rPr>
              <w:t>Free Cash Flow ($B, analyst pub.)</w:t>
            </w:r>
          </w:p>
        </w:tc>
        <w:tc>
          <w:tcPr>
            <w:tcW w:type="dxa" w:w="1234"/>
          </w:tcPr>
          <w:p>
            <w:r>
              <w:rPr>
                <w:rFonts w:ascii="Calibri" w:hAnsi="Calibri"/>
                <w:sz w:val="22"/>
              </w:rPr>
              <w:t>($0.383B)</w:t>
            </w:r>
          </w:p>
        </w:tc>
        <w:tc>
          <w:tcPr>
            <w:tcW w:type="dxa" w:w="1234"/>
          </w:tcPr>
          <w:p>
            <w:r>
              <w:rPr>
                <w:rFonts w:ascii="Calibri" w:hAnsi="Calibri"/>
                <w:sz w:val="22"/>
              </w:rPr>
              <w:t>$0.770B</w:t>
            </w:r>
          </w:p>
        </w:tc>
        <w:tc>
          <w:tcPr>
            <w:tcW w:type="dxa" w:w="1234"/>
          </w:tcPr>
          <w:p>
            <w:r>
              <w:rPr>
                <w:rFonts w:ascii="Calibri" w:hAnsi="Calibri"/>
                <w:sz w:val="22"/>
              </w:rPr>
              <w:t>$0.787B (VA consensus)</w:t>
            </w:r>
          </w:p>
        </w:tc>
        <w:tc>
          <w:tcPr>
            <w:tcW w:type="dxa" w:w="1234"/>
          </w:tcPr>
          <w:p>
            <w:r>
              <w:rPr>
                <w:rFonts w:ascii="Calibri" w:hAnsi="Calibri"/>
                <w:sz w:val="22"/>
              </w:rPr>
              <w:t>N/M (Q1 typically negative)</w:t>
            </w:r>
          </w:p>
        </w:tc>
        <w:tc>
          <w:tcPr>
            <w:tcW w:type="dxa" w:w="1234"/>
          </w:tcPr>
          <w:p>
            <w:r>
              <w:rPr>
                <w:rFonts w:ascii="Calibri" w:hAnsi="Calibri"/>
                <w:sz w:val="22"/>
              </w:rPr>
              <w:t>N/A (no quarterly guidance)</w:t>
            </w:r>
          </w:p>
        </w:tc>
        <w:tc>
          <w:tcPr>
            <w:tcW w:type="dxa" w:w="1234"/>
          </w:tcPr>
          <w:p>
            <w:r>
              <w:rPr>
                <w:rFonts w:ascii="Calibri" w:hAnsi="Calibri"/>
                <w:sz w:val="22"/>
              </w:rPr>
              <w:t>N/A</w:t>
            </w:r>
          </w:p>
        </w:tc>
      </w:tr>
    </w:tbl>
    <w:p>
      <w:r>
        <w:rPr>
          <w:rFonts w:ascii="Calibri" w:hAnsi="Calibri"/>
          <w:i/>
          <w:color w:val="525866"/>
          <w:sz w:val="22"/>
        </w:rPr>
        <w:t>Source: Visible Alpha Consensus and Actuals Data. Q2 2026 consensus as of August 5, 2026. Q1 2026 actuals from Q1 2026 earnings release (May 11, 2026). FY2026 guidance from Q1 2026 earnings call (May 11, 2026). Note: Q1 2026 total capacity factor actual per VA is 83.96%; the 92.3% figure cited by management refers specifically to the nuclear fleet capacity factor.</w:t>
      </w:r>
    </w:p>
    <w:p>
      <w:pPr>
        <w:pStyle w:val="Heading3"/>
      </w:pPr>
      <w:r>
        <w:rPr>
          <w:rFonts w:ascii="Calibri" w:hAnsi="Calibri"/>
          <w:b/>
          <w:color w:val="3B4259"/>
          <w:sz w:val="24"/>
        </w:rPr>
        <w:t>Table 2 — Beat/Miss History (Last 8 Quarters — Top 2 KPIs)</w:t>
      </w:r>
    </w:p>
    <w:p>
      <w:pPr>
        <w:pStyle w:val="Heading4"/>
      </w:pPr>
      <w:r>
        <w:rPr>
          <w:rFonts w:ascii="Calibri" w:hAnsi="Calibri"/>
          <w:b/>
          <w:color w:val="3B4259"/>
          <w:sz w:val="22"/>
        </w:rPr>
        <w:t>Adjusted Operating EPS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$2.74</w:t>
            </w:r>
          </w:p>
        </w:tc>
        <w:tc>
          <w:tcPr>
            <w:tcW w:type="dxa" w:w="1728"/>
          </w:tcPr>
          <w:p>
            <w:r>
              <w:rPr>
                <w:rFonts w:ascii="Calibri" w:hAnsi="Calibri"/>
                <w:sz w:val="22"/>
              </w:rPr>
              <w:t>$2.34</w:t>
            </w:r>
          </w:p>
        </w:tc>
        <w:tc>
          <w:tcPr>
            <w:tcW w:type="dxa" w:w="1728"/>
          </w:tcPr>
          <w:p>
            <w:r>
              <w:rPr>
                <w:rFonts w:ascii="Calibri" w:hAnsi="Calibri"/>
                <w:b/>
                <w:color w:val="30A46C"/>
                <w:sz w:val="22"/>
              </w:rPr>
              <w:t>+17.1%</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$2.30</w:t>
            </w:r>
          </w:p>
        </w:tc>
        <w:tc>
          <w:tcPr>
            <w:tcW w:type="dxa" w:w="1728"/>
          </w:tcPr>
          <w:p>
            <w:r>
              <w:rPr>
                <w:rFonts w:ascii="Calibri" w:hAnsi="Calibri"/>
                <w:sz w:val="22"/>
              </w:rPr>
              <w:t>$2.27</w:t>
            </w:r>
          </w:p>
        </w:tc>
        <w:tc>
          <w:tcPr>
            <w:tcW w:type="dxa" w:w="1728"/>
          </w:tcPr>
          <w:p>
            <w:r>
              <w:rPr>
                <w:rFonts w:ascii="Calibri" w:hAnsi="Calibri"/>
                <w:b/>
                <w:color w:val="30A46C"/>
                <w:sz w:val="22"/>
              </w:rPr>
              <w:t>+1.5%</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$3.04</w:t>
            </w:r>
          </w:p>
        </w:tc>
        <w:tc>
          <w:tcPr>
            <w:tcW w:type="dxa" w:w="1728"/>
          </w:tcPr>
          <w:p>
            <w:r>
              <w:rPr>
                <w:rFonts w:ascii="Calibri" w:hAnsi="Calibri"/>
                <w:sz w:val="22"/>
              </w:rPr>
              <w:t>$3.13</w:t>
            </w:r>
          </w:p>
        </w:tc>
        <w:tc>
          <w:tcPr>
            <w:tcW w:type="dxa" w:w="1728"/>
          </w:tcPr>
          <w:p>
            <w:r>
              <w:rPr>
                <w:rFonts w:ascii="Calibri" w:hAnsi="Calibri"/>
                <w:b/>
                <w:color w:val="E5484D"/>
                <w:sz w:val="22"/>
              </w:rPr>
              <w:t>−2.9%</w:t>
            </w:r>
          </w:p>
        </w:tc>
        <w:tc>
          <w:tcPr>
            <w:tcW w:type="dxa" w:w="1728"/>
          </w:tcPr>
          <w:p>
            <w:r>
              <w:rPr>
                <w:rFonts w:ascii="Calibri" w:hAnsi="Calibri"/>
                <w:sz w:val="22"/>
              </w:rPr>
              <w:t>Miss</w:t>
            </w:r>
          </w:p>
        </w:tc>
      </w:tr>
      <w:tr>
        <w:tc>
          <w:tcPr>
            <w:tcW w:type="dxa" w:w="1728"/>
          </w:tcPr>
          <w:p>
            <w:r>
              <w:rPr>
                <w:rFonts w:ascii="Calibri" w:hAnsi="Calibri"/>
                <w:sz w:val="22"/>
              </w:rPr>
              <w:t>Q2 2025</w:t>
            </w:r>
          </w:p>
        </w:tc>
        <w:tc>
          <w:tcPr>
            <w:tcW w:type="dxa" w:w="1728"/>
          </w:tcPr>
          <w:p>
            <w:r>
              <w:rPr>
                <w:rFonts w:ascii="Calibri" w:hAnsi="Calibri"/>
                <w:sz w:val="22"/>
              </w:rPr>
              <w:t>$1.91</w:t>
            </w:r>
          </w:p>
        </w:tc>
        <w:tc>
          <w:tcPr>
            <w:tcW w:type="dxa" w:w="1728"/>
          </w:tcPr>
          <w:p>
            <w:r>
              <w:rPr>
                <w:rFonts w:ascii="Calibri" w:hAnsi="Calibri"/>
                <w:sz w:val="22"/>
              </w:rPr>
              <w:t>$1.82</w:t>
            </w:r>
          </w:p>
        </w:tc>
        <w:tc>
          <w:tcPr>
            <w:tcW w:type="dxa" w:w="1728"/>
          </w:tcPr>
          <w:p>
            <w:r>
              <w:rPr>
                <w:rFonts w:ascii="Calibri" w:hAnsi="Calibri"/>
                <w:b/>
                <w:color w:val="30A46C"/>
                <w:sz w:val="22"/>
              </w:rPr>
              <w:t>+4.9%</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$2.14</w:t>
            </w:r>
          </w:p>
        </w:tc>
        <w:tc>
          <w:tcPr>
            <w:tcW w:type="dxa" w:w="1728"/>
          </w:tcPr>
          <w:p>
            <w:r>
              <w:rPr>
                <w:rFonts w:ascii="Calibri" w:hAnsi="Calibri"/>
                <w:sz w:val="22"/>
              </w:rPr>
              <w:t>$2.26</w:t>
            </w:r>
          </w:p>
        </w:tc>
        <w:tc>
          <w:tcPr>
            <w:tcW w:type="dxa" w:w="1728"/>
          </w:tcPr>
          <w:p>
            <w:r>
              <w:rPr>
                <w:rFonts w:ascii="Calibri" w:hAnsi="Calibri"/>
                <w:b/>
                <w:color w:val="E5484D"/>
                <w:sz w:val="22"/>
              </w:rPr>
              <w:t>−5.3%</w:t>
            </w:r>
          </w:p>
        </w:tc>
        <w:tc>
          <w:tcPr>
            <w:tcW w:type="dxa" w:w="1728"/>
          </w:tcPr>
          <w:p>
            <w:r>
              <w:rPr>
                <w:rFonts w:ascii="Calibri" w:hAnsi="Calibri"/>
                <w:sz w:val="22"/>
              </w:rPr>
              <w:t>Miss</w:t>
            </w:r>
          </w:p>
        </w:tc>
      </w:tr>
      <w:tr>
        <w:tc>
          <w:tcPr>
            <w:tcW w:type="dxa" w:w="1728"/>
          </w:tcPr>
          <w:p>
            <w:r>
              <w:rPr>
                <w:rFonts w:ascii="Calibri" w:hAnsi="Calibri"/>
                <w:sz w:val="22"/>
              </w:rPr>
              <w:t>Q4 2024</w:t>
            </w:r>
          </w:p>
        </w:tc>
        <w:tc>
          <w:tcPr>
            <w:tcW w:type="dxa" w:w="1728"/>
          </w:tcPr>
          <w:p>
            <w:r>
              <w:rPr>
                <w:rFonts w:ascii="Calibri" w:hAnsi="Calibri"/>
                <w:sz w:val="22"/>
              </w:rPr>
              <w:t>$2.44</w:t>
            </w:r>
          </w:p>
        </w:tc>
        <w:tc>
          <w:tcPr>
            <w:tcW w:type="dxa" w:w="1728"/>
          </w:tcPr>
          <w:p>
            <w:r>
              <w:rPr>
                <w:rFonts w:ascii="Calibri" w:hAnsi="Calibri"/>
                <w:sz w:val="22"/>
              </w:rPr>
              <w:t>$2.14</w:t>
            </w:r>
          </w:p>
        </w:tc>
        <w:tc>
          <w:tcPr>
            <w:tcW w:type="dxa" w:w="1728"/>
          </w:tcPr>
          <w:p>
            <w:r>
              <w:rPr>
                <w:rFonts w:ascii="Calibri" w:hAnsi="Calibri"/>
                <w:b/>
                <w:color w:val="30A46C"/>
                <w:sz w:val="22"/>
              </w:rPr>
              <w:t>+14.0%</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$2.74</w:t>
            </w:r>
          </w:p>
        </w:tc>
        <w:tc>
          <w:tcPr>
            <w:tcW w:type="dxa" w:w="1728"/>
          </w:tcPr>
          <w:p>
            <w:r>
              <w:rPr>
                <w:rFonts w:ascii="Calibri" w:hAnsi="Calibri"/>
                <w:sz w:val="22"/>
              </w:rPr>
              <w:t>$2.39</w:t>
            </w:r>
          </w:p>
        </w:tc>
        <w:tc>
          <w:tcPr>
            <w:tcW w:type="dxa" w:w="1728"/>
          </w:tcPr>
          <w:p>
            <w:r>
              <w:rPr>
                <w:rFonts w:ascii="Calibri" w:hAnsi="Calibri"/>
                <w:b/>
                <w:color w:val="30A46C"/>
                <w:sz w:val="22"/>
              </w:rPr>
              <w:t>+14.6%</w:t>
            </w:r>
          </w:p>
        </w:tc>
        <w:tc>
          <w:tcPr>
            <w:tcW w:type="dxa" w:w="1728"/>
          </w:tcPr>
          <w:p>
            <w:r>
              <w:rPr>
                <w:rFonts w:ascii="Calibri" w:hAnsi="Calibri"/>
                <w:sz w:val="22"/>
              </w:rPr>
              <w:t>Beat</w:t>
            </w:r>
          </w:p>
        </w:tc>
      </w:tr>
      <w:tr>
        <w:tc>
          <w:tcPr>
            <w:tcW w:type="dxa" w:w="1728"/>
          </w:tcPr>
          <w:p>
            <w:r>
              <w:rPr>
                <w:rFonts w:ascii="Calibri" w:hAnsi="Calibri"/>
                <w:sz w:val="22"/>
              </w:rPr>
              <w:t>Q2 2024</w:t>
            </w:r>
          </w:p>
        </w:tc>
        <w:tc>
          <w:tcPr>
            <w:tcW w:type="dxa" w:w="1728"/>
          </w:tcPr>
          <w:p>
            <w:r>
              <w:rPr>
                <w:rFonts w:ascii="Calibri" w:hAnsi="Calibri"/>
                <w:sz w:val="22"/>
              </w:rPr>
              <w:t>$1.68</w:t>
            </w:r>
          </w:p>
        </w:tc>
        <w:tc>
          <w:tcPr>
            <w:tcW w:type="dxa" w:w="1728"/>
          </w:tcPr>
          <w:p>
            <w:r>
              <w:rPr>
                <w:rFonts w:ascii="Calibri" w:hAnsi="Calibri"/>
                <w:sz w:val="22"/>
              </w:rPr>
              <w:t>$1.51</w:t>
            </w:r>
          </w:p>
        </w:tc>
        <w:tc>
          <w:tcPr>
            <w:tcW w:type="dxa" w:w="1728"/>
          </w:tcPr>
          <w:p>
            <w:r>
              <w:rPr>
                <w:rFonts w:ascii="Calibri" w:hAnsi="Calibri"/>
                <w:b/>
                <w:color w:val="30A46C"/>
                <w:sz w:val="22"/>
              </w:rPr>
              <w:t>+11.3%</w:t>
            </w:r>
          </w:p>
        </w:tc>
        <w:tc>
          <w:tcPr>
            <w:tcW w:type="dxa" w:w="1728"/>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CEG has beaten adjusted operating EPS consensus in 6 of the last 8 quarters, with beats averaging ~+12% and misses averaging ~−4%; the two misses (Q1 2025, Q3 2025) were driven by higher-than-expected outage days and cost headwinds, suggesting operational execution is the primary beat/miss driver rather than pricing.</w:t>
      </w:r>
    </w:p>
    <w:p>
      <w:pPr>
        <w:pStyle w:val="Heading4"/>
      </w:pPr>
      <w:r>
        <w:rPr>
          <w:rFonts w:ascii="Calibri" w:hAnsi="Calibri"/>
          <w:b/>
          <w:color w:val="3B4259"/>
          <w:sz w:val="22"/>
        </w:rPr>
        <w:t>Nuclear Capacity Factor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(ppts)</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83.96%</w:t>
            </w:r>
          </w:p>
        </w:tc>
        <w:tc>
          <w:tcPr>
            <w:tcW w:type="dxa" w:w="1728"/>
          </w:tcPr>
          <w:p>
            <w:r>
              <w:rPr>
                <w:rFonts w:ascii="Calibri" w:hAnsi="Calibri"/>
                <w:sz w:val="22"/>
              </w:rPr>
              <w:t>76.77%</w:t>
            </w:r>
          </w:p>
        </w:tc>
        <w:tc>
          <w:tcPr>
            <w:tcW w:type="dxa" w:w="1728"/>
          </w:tcPr>
          <w:p>
            <w:r>
              <w:rPr>
                <w:rFonts w:ascii="Calibri" w:hAnsi="Calibri"/>
                <w:b/>
                <w:color w:val="30A46C"/>
                <w:sz w:val="22"/>
              </w:rPr>
              <w:t>+7.2 ppts</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78.34%</w:t>
            </w:r>
          </w:p>
        </w:tc>
        <w:tc>
          <w:tcPr>
            <w:tcW w:type="dxa" w:w="1728"/>
          </w:tcPr>
          <w:p>
            <w:r>
              <w:rPr>
                <w:rFonts w:ascii="Calibri" w:hAnsi="Calibri"/>
                <w:sz w:val="22"/>
              </w:rPr>
              <w:t>71.29%</w:t>
            </w:r>
          </w:p>
        </w:tc>
        <w:tc>
          <w:tcPr>
            <w:tcW w:type="dxa" w:w="1728"/>
          </w:tcPr>
          <w:p>
            <w:r>
              <w:rPr>
                <w:rFonts w:ascii="Calibri" w:hAnsi="Calibri"/>
                <w:b/>
                <w:color w:val="30A46C"/>
                <w:sz w:val="22"/>
              </w:rPr>
              <w:t>+7.1 ppts</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83.81%</w:t>
            </w:r>
          </w:p>
        </w:tc>
        <w:tc>
          <w:tcPr>
            <w:tcW w:type="dxa" w:w="1728"/>
          </w:tcPr>
          <w:p>
            <w:r>
              <w:rPr>
                <w:rFonts w:ascii="Calibri" w:hAnsi="Calibri"/>
                <w:sz w:val="22"/>
              </w:rPr>
              <w:t>73.27%</w:t>
            </w:r>
          </w:p>
        </w:tc>
        <w:tc>
          <w:tcPr>
            <w:tcW w:type="dxa" w:w="1728"/>
          </w:tcPr>
          <w:p>
            <w:r>
              <w:rPr>
                <w:rFonts w:ascii="Calibri" w:hAnsi="Calibri"/>
                <w:b/>
                <w:color w:val="30A46C"/>
                <w:sz w:val="22"/>
              </w:rPr>
              <w:t>+10.5 ppts</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78.94%</w:t>
            </w:r>
          </w:p>
        </w:tc>
        <w:tc>
          <w:tcPr>
            <w:tcW w:type="dxa" w:w="1728"/>
          </w:tcPr>
          <w:p>
            <w:r>
              <w:rPr>
                <w:rFonts w:ascii="Calibri" w:hAnsi="Calibri"/>
                <w:sz w:val="22"/>
              </w:rPr>
              <w:t>70.89%</w:t>
            </w:r>
          </w:p>
        </w:tc>
        <w:tc>
          <w:tcPr>
            <w:tcW w:type="dxa" w:w="1728"/>
          </w:tcPr>
          <w:p>
            <w:r>
              <w:rPr>
                <w:rFonts w:ascii="Calibri" w:hAnsi="Calibri"/>
                <w:b/>
                <w:color w:val="30A46C"/>
                <w:sz w:val="22"/>
              </w:rPr>
              <w:t>+8.0 ppts</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82.33%</w:t>
            </w:r>
          </w:p>
        </w:tc>
        <w:tc>
          <w:tcPr>
            <w:tcW w:type="dxa" w:w="1728"/>
          </w:tcPr>
          <w:p>
            <w:r>
              <w:rPr>
                <w:rFonts w:ascii="Calibri" w:hAnsi="Calibri"/>
                <w:sz w:val="22"/>
              </w:rPr>
              <w:t>71.94%</w:t>
            </w:r>
          </w:p>
        </w:tc>
        <w:tc>
          <w:tcPr>
            <w:tcW w:type="dxa" w:w="1728"/>
          </w:tcPr>
          <w:p>
            <w:r>
              <w:rPr>
                <w:rFonts w:ascii="Calibri" w:hAnsi="Calibri"/>
                <w:b/>
                <w:color w:val="30A46C"/>
                <w:sz w:val="22"/>
              </w:rPr>
              <w:t>+10.4 ppts</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78.23%</w:t>
            </w:r>
          </w:p>
        </w:tc>
        <w:tc>
          <w:tcPr>
            <w:tcW w:type="dxa" w:w="1728"/>
          </w:tcPr>
          <w:p>
            <w:r>
              <w:rPr>
                <w:rFonts w:ascii="Calibri" w:hAnsi="Calibri"/>
                <w:sz w:val="22"/>
              </w:rPr>
              <w:t>69.60%</w:t>
            </w:r>
          </w:p>
        </w:tc>
        <w:tc>
          <w:tcPr>
            <w:tcW w:type="dxa" w:w="1728"/>
          </w:tcPr>
          <w:p>
            <w:r>
              <w:rPr>
                <w:rFonts w:ascii="Calibri" w:hAnsi="Calibri"/>
                <w:b/>
                <w:color w:val="30A46C"/>
                <w:sz w:val="22"/>
              </w:rPr>
              <w:t>+8.6 ppts</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82.04%</w:t>
            </w:r>
          </w:p>
        </w:tc>
        <w:tc>
          <w:tcPr>
            <w:tcW w:type="dxa" w:w="1728"/>
          </w:tcPr>
          <w:p>
            <w:r>
              <w:rPr>
                <w:rFonts w:ascii="Calibri" w:hAnsi="Calibri"/>
                <w:sz w:val="22"/>
              </w:rPr>
              <w:t>71.77%</w:t>
            </w:r>
          </w:p>
        </w:tc>
        <w:tc>
          <w:tcPr>
            <w:tcW w:type="dxa" w:w="1728"/>
          </w:tcPr>
          <w:p>
            <w:r>
              <w:rPr>
                <w:rFonts w:ascii="Calibri" w:hAnsi="Calibri"/>
                <w:b/>
                <w:color w:val="30A46C"/>
                <w:sz w:val="22"/>
              </w:rPr>
              <w:t>+10.3 ppts</w:t>
            </w:r>
          </w:p>
        </w:tc>
        <w:tc>
          <w:tcPr>
            <w:tcW w:type="dxa" w:w="1728"/>
          </w:tcPr>
          <w:p>
            <w:r>
              <w:rPr>
                <w:rFonts w:ascii="Calibri" w:hAnsi="Calibri"/>
                <w:sz w:val="22"/>
              </w:rPr>
              <w:t>Beat</w:t>
            </w:r>
          </w:p>
        </w:tc>
      </w:tr>
      <w:tr>
        <w:tc>
          <w:tcPr>
            <w:tcW w:type="dxa" w:w="1728"/>
          </w:tcPr>
          <w:p>
            <w:r>
              <w:rPr>
                <w:rFonts w:ascii="Calibri" w:hAnsi="Calibri"/>
                <w:sz w:val="22"/>
              </w:rPr>
              <w:t>Q2 2024</w:t>
            </w:r>
          </w:p>
        </w:tc>
        <w:tc>
          <w:tcPr>
            <w:tcW w:type="dxa" w:w="1728"/>
          </w:tcPr>
          <w:p>
            <w:r>
              <w:rPr>
                <w:rFonts w:ascii="Calibri" w:hAnsi="Calibri"/>
                <w:sz w:val="22"/>
              </w:rPr>
              <w:t>78.28%</w:t>
            </w:r>
          </w:p>
        </w:tc>
        <w:tc>
          <w:tcPr>
            <w:tcW w:type="dxa" w:w="1728"/>
          </w:tcPr>
          <w:p>
            <w:r>
              <w:rPr>
                <w:rFonts w:ascii="Calibri" w:hAnsi="Calibri"/>
                <w:sz w:val="22"/>
              </w:rPr>
              <w:t>67.56%</w:t>
            </w:r>
          </w:p>
        </w:tc>
        <w:tc>
          <w:tcPr>
            <w:tcW w:type="dxa" w:w="1728"/>
          </w:tcPr>
          <w:p>
            <w:r>
              <w:rPr>
                <w:rFonts w:ascii="Calibri" w:hAnsi="Calibri"/>
                <w:b/>
                <w:color w:val="30A46C"/>
                <w:sz w:val="22"/>
              </w:rPr>
              <w:t>+10.7 ppts</w:t>
            </w:r>
          </w:p>
        </w:tc>
        <w:tc>
          <w:tcPr>
            <w:tcW w:type="dxa" w:w="1728"/>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CEG has beaten nuclear capacity factor consensus in all 8 of the last 8 quarters by an average of ~9 percentage points, reflecting a consistent structural underestimation by the Street of fleet operational performance. This persistent beat pattern suggests the Q2 2026 consensus of ~87.97% may again prove conservative.</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FY2026 adjusted operating EPS guidance of $11.00–$12.00/share was affirmed on the Q1 2026 call with no revision; management’s tone was cautious-to-neutral, explicitly noting it needed another quarter of data before expressing confidence in the upper half of the range — the key watch item for Q2 is whether that language shifts.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Call — May 11,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Adj. Operating EPS</w:t>
            </w:r>
          </w:p>
        </w:tc>
        <w:tc>
          <w:tcPr>
            <w:tcW w:type="dxa" w:w="1728"/>
          </w:tcPr>
          <w:p>
            <w:r>
              <w:rPr>
                <w:rFonts w:ascii="Calibri" w:hAnsi="Calibri"/>
                <w:sz w:val="22"/>
              </w:rPr>
              <w:t>$11.00–$12.00/share</w:t>
            </w:r>
          </w:p>
        </w:tc>
        <w:tc>
          <w:tcPr>
            <w:tcW w:type="dxa" w:w="1728"/>
          </w:tcPr>
          <w:p>
            <w:r>
              <w:rPr>
                <w:rFonts w:ascii="Calibri" w:hAnsi="Calibri"/>
                <w:sz w:val="22"/>
              </w:rPr>
              <w:t>Unchanged</w:t>
            </w:r>
          </w:p>
        </w:tc>
        <w:tc>
          <w:tcPr>
            <w:tcW w:type="dxa" w:w="1728"/>
          </w:tcPr>
          <w:p>
            <w:r>
              <w:rPr>
                <w:rFonts w:ascii="Calibri" w:hAnsi="Calibri"/>
                <w:sz w:val="22"/>
              </w:rPr>
              <w:t>$11.86/share</w:t>
            </w:r>
          </w:p>
        </w:tc>
        <w:tc>
          <w:tcPr>
            <w:tcW w:type="dxa" w:w="1728"/>
          </w:tcPr>
          <w:p>
            <w:r>
              <w:rPr>
                <w:rFonts w:ascii="Calibri" w:hAnsi="Calibri"/>
                <w:sz w:val="22"/>
              </w:rPr>
              <w:t>Affirmed; management noted “at least another quarter of data” needed before confidence in upper half of range</w:t>
            </w:r>
          </w:p>
        </w:tc>
      </w:tr>
      <w:tr>
        <w:tc>
          <w:tcPr>
            <w:tcW w:type="dxa" w:w="1728"/>
          </w:tcPr>
          <w:p>
            <w:r>
              <w:rPr>
                <w:rFonts w:ascii="Calibri" w:hAnsi="Calibri"/>
                <w:sz w:val="22"/>
              </w:rPr>
              <w:t>FY2026 Adj. O&amp;M (excl. perf. incentive adj.)</w:t>
            </w:r>
          </w:p>
        </w:tc>
        <w:tc>
          <w:tcPr>
            <w:tcW w:type="dxa" w:w="1728"/>
          </w:tcPr>
          <w:p>
            <w:r>
              <w:rPr>
                <w:rFonts w:ascii="Calibri" w:hAnsi="Calibri"/>
                <w:sz w:val="22"/>
              </w:rPr>
              <w:t>($6,900M)</w:t>
            </w:r>
          </w:p>
        </w:tc>
        <w:tc>
          <w:tcPr>
            <w:tcW w:type="dxa" w:w="1728"/>
          </w:tcPr>
          <w:p>
            <w:r>
              <w:rPr>
                <w:rFonts w:ascii="Calibri" w:hAnsi="Calibri"/>
                <w:sz w:val="22"/>
              </w:rPr>
              <w:t>Unchanged</w:t>
            </w:r>
          </w:p>
        </w:tc>
        <w:tc>
          <w:tcPr>
            <w:tcW w:type="dxa" w:w="1728"/>
          </w:tcPr>
          <w:p>
            <w:r>
              <w:rPr>
                <w:rFonts w:ascii="Calibri" w:hAnsi="Calibri"/>
                <w:sz w:val="22"/>
              </w:rPr>
              <w:t>N/A — not tracked in VA</w:t>
            </w:r>
          </w:p>
        </w:tc>
        <w:tc>
          <w:tcPr>
            <w:tcW w:type="dxa" w:w="1728"/>
          </w:tcPr>
          <w:p>
            <w:r>
              <w:rPr>
                <w:rFonts w:ascii="Calibri" w:hAnsi="Calibri"/>
                <w:sz w:val="22"/>
              </w:rPr>
              <w:t>Affirmed on Q1 call; no post-earnings update</w:t>
            </w:r>
          </w:p>
        </w:tc>
      </w:tr>
      <w:tr>
        <w:tc>
          <w:tcPr>
            <w:tcW w:type="dxa" w:w="1728"/>
          </w:tcPr>
          <w:p>
            <w:r>
              <w:rPr>
                <w:rFonts w:ascii="Calibri" w:hAnsi="Calibri"/>
                <w:sz w:val="22"/>
              </w:rPr>
              <w:t>FY2026 Commercial Power Margins</w:t>
            </w:r>
          </w:p>
        </w:tc>
        <w:tc>
          <w:tcPr>
            <w:tcW w:type="dxa" w:w="1728"/>
          </w:tcPr>
          <w:p>
            <w:r>
              <w:rPr>
                <w:rFonts w:ascii="Calibri" w:hAnsi="Calibri"/>
                <w:sz w:val="22"/>
              </w:rPr>
              <w:t>$4.25–$4.35/MWh on 245M MWhs</w:t>
            </w:r>
          </w:p>
        </w:tc>
        <w:tc>
          <w:tcPr>
            <w:tcW w:type="dxa" w:w="1728"/>
          </w:tcPr>
          <w:p>
            <w:r>
              <w:rPr>
                <w:rFonts w:ascii="Calibri" w:hAnsi="Calibri"/>
                <w:sz w:val="22"/>
              </w:rPr>
              <w:t>Unchanged</w:t>
            </w:r>
          </w:p>
        </w:tc>
        <w:tc>
          <w:tcPr>
            <w:tcW w:type="dxa" w:w="1728"/>
          </w:tcPr>
          <w:p>
            <w:r>
              <w:rPr>
                <w:rFonts w:ascii="Calibri" w:hAnsi="Calibri"/>
                <w:sz w:val="22"/>
              </w:rPr>
              <w:t>N/A — not tracked in VA</w:t>
            </w:r>
          </w:p>
        </w:tc>
        <w:tc>
          <w:tcPr>
            <w:tcW w:type="dxa" w:w="1728"/>
          </w:tcPr>
          <w:p>
            <w:r>
              <w:rPr>
                <w:rFonts w:ascii="Calibri" w:hAnsi="Calibri"/>
                <w:sz w:val="22"/>
              </w:rPr>
              <w:t>Affirmed on Q1 call; management noted margins tracking above long-term averages</w:t>
            </w:r>
          </w:p>
        </w:tc>
      </w:tr>
      <w:tr>
        <w:tc>
          <w:tcPr>
            <w:tcW w:type="dxa" w:w="1728"/>
          </w:tcPr>
          <w:p>
            <w:r>
              <w:rPr>
                <w:rFonts w:ascii="Calibri" w:hAnsi="Calibri"/>
                <w:sz w:val="22"/>
              </w:rPr>
              <w:t>FY2026 Total Nuclear Volumes</w:t>
            </w:r>
          </w:p>
        </w:tc>
        <w:tc>
          <w:tcPr>
            <w:tcW w:type="dxa" w:w="1728"/>
          </w:tcPr>
          <w:p>
            <w:r>
              <w:rPr>
                <w:rFonts w:ascii="Calibri" w:hAnsi="Calibri"/>
                <w:sz w:val="22"/>
              </w:rPr>
              <w:t>179M MWhs; 15 planned refueling outages</w:t>
            </w:r>
          </w:p>
        </w:tc>
        <w:tc>
          <w:tcPr>
            <w:tcW w:type="dxa" w:w="1728"/>
          </w:tcPr>
          <w:p>
            <w:r>
              <w:rPr>
                <w:rFonts w:ascii="Calibri" w:hAnsi="Calibri"/>
                <w:sz w:val="22"/>
              </w:rPr>
              <w:t>Unchanged</w:t>
            </w:r>
          </w:p>
        </w:tc>
        <w:tc>
          <w:tcPr>
            <w:tcW w:type="dxa" w:w="1728"/>
          </w:tcPr>
          <w:p>
            <w:r>
              <w:rPr>
                <w:rFonts w:ascii="Calibri" w:hAnsi="Calibri"/>
                <w:sz w:val="22"/>
              </w:rPr>
              <w:t>N/A — not tracked in VA</w:t>
            </w:r>
          </w:p>
        </w:tc>
        <w:tc>
          <w:tcPr>
            <w:tcW w:type="dxa" w:w="1728"/>
          </w:tcPr>
          <w:p>
            <w:r>
              <w:rPr>
                <w:rFonts w:ascii="Calibri" w:hAnsi="Calibri"/>
                <w:sz w:val="22"/>
              </w:rPr>
              <w:t>Affirmed on Q1 call; Q1 completed 2 outages (avg. 23 days)</w:t>
            </w:r>
          </w:p>
        </w:tc>
      </w:tr>
      <w:tr>
        <w:tc>
          <w:tcPr>
            <w:tcW w:type="dxa" w:w="1728"/>
          </w:tcPr>
          <w:p>
            <w:r>
              <w:rPr>
                <w:rFonts w:ascii="Calibri" w:hAnsi="Calibri"/>
                <w:sz w:val="22"/>
              </w:rPr>
              <w:t>FY2026 Base EPS Growth Target (2026–2029)</w:t>
            </w:r>
          </w:p>
        </w:tc>
        <w:tc>
          <w:tcPr>
            <w:tcW w:type="dxa" w:w="1728"/>
          </w:tcPr>
          <w:p>
            <w:r>
              <w:rPr>
                <w:rFonts w:ascii="Calibri" w:hAnsi="Calibri"/>
                <w:sz w:val="22"/>
              </w:rPr>
              <w:t>20%+ CAGR; 10%+ rolling 3-yr minimum</w:t>
            </w:r>
          </w:p>
        </w:tc>
        <w:tc>
          <w:tcPr>
            <w:tcW w:type="dxa" w:w="1728"/>
          </w:tcPr>
          <w:p>
            <w:r>
              <w:rPr>
                <w:rFonts w:ascii="Calibri" w:hAnsi="Calibri"/>
                <w:sz w:val="22"/>
              </w:rPr>
              <w:t>Unchanged</w:t>
            </w:r>
          </w:p>
        </w:tc>
        <w:tc>
          <w:tcPr>
            <w:tcW w:type="dxa" w:w="1728"/>
          </w:tcPr>
          <w:p>
            <w:r>
              <w:rPr>
                <w:rFonts w:ascii="Calibri" w:hAnsi="Calibri"/>
                <w:sz w:val="22"/>
              </w:rPr>
              <w:t>N/A</w:t>
            </w:r>
          </w:p>
        </w:tc>
        <w:tc>
          <w:tcPr>
            <w:tcW w:type="dxa" w:w="1728"/>
          </w:tcPr>
          <w:p>
            <w:r>
              <w:rPr>
                <w:rFonts w:ascii="Calibri" w:hAnsi="Calibri"/>
                <w:sz w:val="22"/>
              </w:rPr>
              <w:t>Long-term framework reiterated; no post-earnings update</w:t>
            </w:r>
          </w:p>
        </w:tc>
      </w:tr>
      <w:tr>
        <w:tc>
          <w:tcPr>
            <w:tcW w:type="dxa" w:w="1728"/>
          </w:tcPr>
          <w:p>
            <w:r>
              <w:rPr>
                <w:rFonts w:ascii="Calibri" w:hAnsi="Calibri"/>
                <w:sz w:val="22"/>
              </w:rPr>
              <w:t>Hyperscaler Deal Pipeline</w:t>
            </w:r>
          </w:p>
        </w:tc>
        <w:tc>
          <w:tcPr>
            <w:tcW w:type="dxa" w:w="1728"/>
          </w:tcPr>
          <w:p>
            <w:r>
              <w:rPr>
                <w:rFonts w:ascii="Calibri" w:hAnsi="Calibri"/>
                <w:sz w:val="22"/>
              </w:rPr>
              <w:t>No new deal announced; pipeline active; regulatory clarity needed</w:t>
            </w:r>
          </w:p>
        </w:tc>
        <w:tc>
          <w:tcPr>
            <w:tcW w:type="dxa" w:w="1728"/>
          </w:tcPr>
          <w:p>
            <w:r>
              <w:rPr>
                <w:rFonts w:ascii="Calibri" w:hAnsi="Calibri"/>
                <w:sz w:val="22"/>
              </w:rPr>
              <w:t>Unchanged</w:t>
            </w:r>
          </w:p>
        </w:tc>
        <w:tc>
          <w:tcPr>
            <w:tcW w:type="dxa" w:w="1728"/>
          </w:tcPr>
          <w:p>
            <w:r>
              <w:rPr>
                <w:rFonts w:ascii="Calibri" w:hAnsi="Calibri"/>
                <w:sz w:val="22"/>
              </w:rPr>
              <w:t>N/A</w:t>
            </w:r>
          </w:p>
        </w:tc>
        <w:tc>
          <w:tcPr>
            <w:tcW w:type="dxa" w:w="1728"/>
          </w:tcPr>
          <w:p>
            <w:r>
              <w:rPr>
                <w:rFonts w:ascii="Calibri" w:hAnsi="Calibri"/>
                <w:sz w:val="22"/>
              </w:rPr>
              <w:t>AWS Calvert Cliffs open house (late March 2026); PUCT approved CyrusOne/Freestone co-location (first regulatory approval); Nvidia/Emerald AI partnership announced; no formal deal signed</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Q2 2026 EPS estimates have drifted slightly lower since the Q1 print (from $2.47 to $2.31, −6.5%), likely reflecting the absence of new hyperscaler deal announcements and softer ERCOT power prices; FY2026 estimates have held relatively firm near the midpoint of guidance, suggesting the Street is not yet pricing in the upper half of the range.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(May 16, 2026 — ~5 Days Post Q1 Print)</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2026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Operating EPS — Q2 2026</w:t>
            </w:r>
          </w:p>
        </w:tc>
        <w:tc>
          <w:tcPr>
            <w:tcW w:type="dxa" w:w="1080"/>
          </w:tcPr>
          <w:p>
            <w:r>
              <w:rPr>
                <w:rFonts w:ascii="Calibri" w:hAnsi="Calibri"/>
                <w:sz w:val="22"/>
              </w:rPr>
              <w:t>$2.47</w:t>
            </w:r>
          </w:p>
        </w:tc>
        <w:tc>
          <w:tcPr>
            <w:tcW w:type="dxa" w:w="1080"/>
          </w:tcPr>
          <w:p>
            <w:r>
              <w:rPr>
                <w:rFonts w:ascii="Calibri" w:hAnsi="Calibri"/>
                <w:sz w:val="22"/>
              </w:rPr>
              <w:t>$2.31</w:t>
            </w:r>
          </w:p>
        </w:tc>
        <w:tc>
          <w:tcPr>
            <w:tcW w:type="dxa" w:w="1080"/>
          </w:tcPr>
          <w:p>
            <w:r>
              <w:rPr>
                <w:rFonts w:ascii="Calibri" w:hAnsi="Calibri"/>
                <w:b/>
                <w:color w:val="E5484D"/>
                <w:sz w:val="22"/>
              </w:rPr>
              <w:t>−6.5%</w:t>
            </w:r>
          </w:p>
        </w:tc>
        <w:tc>
          <w:tcPr>
            <w:tcW w:type="dxa" w:w="1080"/>
          </w:tcPr>
          <w:p>
            <w:r>
              <w:rPr>
                <w:rFonts w:ascii="Calibri" w:hAnsi="Calibri"/>
                <w:sz w:val="22"/>
              </w:rPr>
              <w:t>N/A (no quarterly guidance)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Operating EPS — FY2026</w:t>
            </w:r>
          </w:p>
        </w:tc>
        <w:tc>
          <w:tcPr>
            <w:tcW w:type="dxa" w:w="1080"/>
          </w:tcPr>
          <w:p>
            <w:r>
              <w:rPr>
                <w:rFonts w:ascii="Calibri" w:hAnsi="Calibri"/>
                <w:sz w:val="22"/>
              </w:rPr>
              <w:t>$11.86</w:t>
            </w:r>
          </w:p>
        </w:tc>
        <w:tc>
          <w:tcPr>
            <w:tcW w:type="dxa" w:w="1080"/>
          </w:tcPr>
          <w:p>
            <w:r>
              <w:rPr>
                <w:rFonts w:ascii="Calibri" w:hAnsi="Calibri"/>
                <w:sz w:val="22"/>
              </w:rPr>
              <w:t>$11.86</w:t>
            </w:r>
          </w:p>
        </w:tc>
        <w:tc>
          <w:tcPr>
            <w:tcW w:type="dxa" w:w="1080"/>
          </w:tcPr>
          <w:p>
            <w:r>
              <w:rPr>
                <w:rFonts w:ascii="Calibri" w:hAnsi="Calibri"/>
                <w:sz w:val="22"/>
              </w:rPr>
              <w:t>0.0%</w:t>
            </w:r>
          </w:p>
        </w:tc>
        <w:tc>
          <w:tcPr>
            <w:tcW w:type="dxa" w:w="1080"/>
          </w:tcPr>
          <w:p>
            <w:r>
              <w:rPr>
                <w:rFonts w:ascii="Calibri" w:hAnsi="Calibri"/>
                <w:sz w:val="22"/>
              </w:rPr>
              <w:t>$11.00–$12.00</w:t>
            </w:r>
          </w:p>
        </w:tc>
        <w:tc>
          <w:tcPr>
            <w:tcW w:type="dxa" w:w="1080"/>
          </w:tcPr>
          <w:p>
            <w:r>
              <w:rPr>
                <w:rFonts w:ascii="Calibri" w:hAnsi="Calibri"/>
                <w:sz w:val="22"/>
              </w:rPr>
              <w:t>$11.00–$12.00 (unchanged)</w:t>
            </w:r>
          </w:p>
        </w:tc>
        <w:tc>
          <w:tcPr>
            <w:tcW w:type="dxa" w:w="1080"/>
          </w:tcPr>
          <w:p>
            <w:r>
              <w:rPr>
                <w:rFonts w:ascii="Calibri" w:hAnsi="Calibri"/>
                <w:sz w:val="22"/>
              </w:rPr>
              <w:t>Unchanged</w:t>
            </w:r>
          </w:p>
        </w:tc>
        <w:tc>
          <w:tcPr>
            <w:tcW w:type="dxa" w:w="1080"/>
          </w:tcPr>
          <w:p>
            <w:r>
              <w:rPr>
                <w:rFonts w:ascii="Calibri" w:hAnsi="Calibri"/>
                <w:sz w:val="22"/>
              </w:rPr>
              <w:t>−1.2% vs. midpoint ($11.50)</w:t>
            </w:r>
          </w:p>
        </w:tc>
      </w:tr>
      <w:tr>
        <w:tc>
          <w:tcPr>
            <w:tcW w:type="dxa" w:w="1080"/>
          </w:tcPr>
          <w:p>
            <w:r>
              <w:rPr>
                <w:rFonts w:ascii="Calibri" w:hAnsi="Calibri"/>
                <w:sz w:val="22"/>
              </w:rPr>
              <w:t>Adj. Operating EPS — FY2027</w:t>
            </w:r>
          </w:p>
        </w:tc>
        <w:tc>
          <w:tcPr>
            <w:tcW w:type="dxa" w:w="1080"/>
          </w:tcPr>
          <w:p>
            <w:r>
              <w:rPr>
                <w:rFonts w:ascii="Calibri" w:hAnsi="Calibri"/>
                <w:sz w:val="22"/>
              </w:rPr>
              <w:t>$13.56</w:t>
            </w:r>
          </w:p>
        </w:tc>
        <w:tc>
          <w:tcPr>
            <w:tcW w:type="dxa" w:w="1080"/>
          </w:tcPr>
          <w:p>
            <w:r>
              <w:rPr>
                <w:rFonts w:ascii="Calibri" w:hAnsi="Calibri"/>
                <w:sz w:val="22"/>
              </w:rPr>
              <w:t>$13.56</w:t>
            </w:r>
          </w:p>
        </w:tc>
        <w:tc>
          <w:tcPr>
            <w:tcW w:type="dxa" w:w="1080"/>
          </w:tcPr>
          <w:p>
            <w:r>
              <w:rPr>
                <w:rFonts w:ascii="Calibri" w:hAnsi="Calibri"/>
                <w:sz w:val="22"/>
              </w:rPr>
              <w:t>0.0%</w:t>
            </w:r>
          </w:p>
        </w:tc>
        <w:tc>
          <w:tcPr>
            <w:tcW w:type="dxa" w:w="1080"/>
          </w:tcPr>
          <w:p>
            <w:r>
              <w:rPr>
                <w:rFonts w:ascii="Calibri" w:hAnsi="Calibri"/>
                <w:sz w:val="22"/>
              </w:rPr>
              <w:t>20%+ CAGR from FY2026 base</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Consistent with 20%+ CAGR target</w:t>
            </w:r>
          </w:p>
        </w:tc>
      </w:tr>
      <w:tr>
        <w:tc>
          <w:tcPr>
            <w:tcW w:type="dxa" w:w="1080"/>
          </w:tcPr>
          <w:p>
            <w:r>
              <w:rPr>
                <w:rFonts w:ascii="Calibri" w:hAnsi="Calibri"/>
                <w:sz w:val="22"/>
              </w:rPr>
              <w:t>Total Revenue — Operating, Q2 2026</w:t>
            </w:r>
          </w:p>
        </w:tc>
        <w:tc>
          <w:tcPr>
            <w:tcW w:type="dxa" w:w="1080"/>
          </w:tcPr>
          <w:p>
            <w:r>
              <w:rPr>
                <w:rFonts w:ascii="Calibri" w:hAnsi="Calibri"/>
                <w:sz w:val="22"/>
              </w:rPr>
              <w:t>N/A (not available as of 5/16)</w:t>
            </w:r>
          </w:p>
        </w:tc>
        <w:tc>
          <w:tcPr>
            <w:tcW w:type="dxa" w:w="1080"/>
          </w:tcPr>
          <w:p>
            <w:r>
              <w:rPr>
                <w:rFonts w:ascii="Calibri" w:hAnsi="Calibri"/>
                <w:sz w:val="22"/>
              </w:rPr>
              <w:t>$8.25B</w:t>
            </w:r>
          </w:p>
        </w:tc>
        <w:tc>
          <w:tcPr>
            <w:tcW w:type="dxa" w:w="1080"/>
          </w:tcPr>
          <w:p>
            <w:r>
              <w:rPr>
                <w:rFonts w:ascii="Calibri" w:hAnsi="Calibri"/>
                <w:sz w:val="22"/>
              </w:rPr>
              <w:t>N/A</w:t>
            </w:r>
          </w:p>
        </w:tc>
        <w:tc>
          <w:tcPr>
            <w:tcW w:type="dxa" w:w="1080"/>
          </w:tcPr>
          <w:p>
            <w:r>
              <w:rPr>
                <w:rFonts w:ascii="Calibri" w:hAnsi="Calibri"/>
                <w:sz w:val="22"/>
              </w:rPr>
              <w:t>N/A (no quarterly guidance)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Nuclear Capacity Factor, Q2 2026</w:t>
            </w:r>
          </w:p>
        </w:tc>
        <w:tc>
          <w:tcPr>
            <w:tcW w:type="dxa" w:w="1080"/>
          </w:tcPr>
          <w:p>
            <w:r>
              <w:rPr>
                <w:rFonts w:ascii="Calibri" w:hAnsi="Calibri"/>
                <w:sz w:val="22"/>
              </w:rPr>
              <w:t>N/A (not available as of 5/16)</w:t>
            </w:r>
          </w:p>
        </w:tc>
        <w:tc>
          <w:tcPr>
            <w:tcW w:type="dxa" w:w="1080"/>
          </w:tcPr>
          <w:p>
            <w:r>
              <w:rPr>
                <w:rFonts w:ascii="Calibri" w:hAnsi="Calibri"/>
                <w:sz w:val="22"/>
              </w:rPr>
              <w:t>~87.97%</w:t>
            </w:r>
          </w:p>
        </w:tc>
        <w:tc>
          <w:tcPr>
            <w:tcW w:type="dxa" w:w="1080"/>
          </w:tcPr>
          <w:p>
            <w:r>
              <w:rPr>
                <w:rFonts w:ascii="Calibri" w:hAnsi="Calibri"/>
                <w:sz w:val="22"/>
              </w:rPr>
              <w:t>N/A</w:t>
            </w:r>
          </w:p>
        </w:tc>
        <w:tc>
          <w:tcPr>
            <w:tcW w:type="dxa" w:w="1080"/>
          </w:tcPr>
          <w:p>
            <w:r>
              <w:rPr>
                <w:rFonts w:ascii="Calibri" w:hAnsi="Calibri"/>
                <w:sz w:val="22"/>
              </w:rPr>
              <w:t>N/A (no quarterly guidance)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color w:val="525866"/>
          <w:sz w:val="22"/>
        </w:rPr>
        <w:t>The slight downward drift in Q2 2026 EPS estimates (−6.5% since the Q1 print) likely reflects the absence of new hyperscaler deal announcements and softer ERCOT power prices (NRG noted ERCOT Houston around-the-clock prices averaged $33/MWh in Q2, well below planning assumptions). FY2026 consensus has been remarkably stable at $11.86, sitting just below the guidance midpoint of $11.50 — the Street is not yet pricing in the upper half of the range, which represents potential upside if management upgrades its tone on Q2.</w:t>
      </w:r>
    </w:p>
    <w:p>
      <w:r>
        <w:rPr>
          <w:rFonts w:ascii="Calibri" w:hAnsi="Calibri"/>
          <w:i/>
          <w:color w:val="525866"/>
          <w:sz w:val="22"/>
        </w:rPr>
        <w:t>Source: Visible Alpha Consensus and Actuals Data. Baseline as of May 16, 2026 (~5 trading days post Q1 2026 earnings). Current consensus as of August 5,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CEG has underperformed both XLU (−3.3%) and the S&amp;P 500 (+4.1%) by a wide margin since the Q1 2026 earnings print, declining </w:t>
      </w:r>
      <w:r>
        <w:rPr>
          <w:rFonts w:ascii="Calibri" w:hAnsi="Calibri"/>
          <w:b/>
          <w:color w:val="525866"/>
          <w:sz w:val="22"/>
        </w:rPr>
        <w:t>11.5%</w:t>
      </w:r>
      <w:r>
        <w:rPr>
          <w:rFonts w:ascii="Calibri" w:hAnsi="Calibri"/>
          <w:color w:val="525866"/>
          <w:sz w:val="22"/>
        </w:rPr>
        <w:t xml:space="preserve"> from $299.69 to $265.12 — the de-rating reflects multiple compression driven by the absence of new hyperscaler deal announcements, the Calpine lockup expiry (June 30), and softer near-term power price dynamics, not a deterioration in underlying fundamentals.</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CEG vs. XLU (Utilities ETF) vs. S&amp;P 500 (SPY) — Indexed to 100 at Q1 2026 Earnings (May 11, 2026). Source: Stock Price Data (Yahoo Finance).</w:t>
      </w:r>
    </w:p>
    <w:p>
      <w:r>
        <w:rPr>
          <w:rFonts w:ascii="Calibri" w:hAnsi="Calibri"/>
          <w:b/>
          <w:color w:val="525866"/>
          <w:sz w:val="22"/>
        </w:rPr>
        <w:t xml:space="preserve">Key observations: </w:t>
      </w:r>
      <w:r>
        <w:rPr>
          <w:rFonts w:ascii="Calibri" w:hAnsi="Calibri"/>
          <w:color w:val="525866"/>
          <w:sz w:val="22"/>
        </w:rPr>
        <w:t xml:space="preserve">CEG peaked at ~$301.57 (indexed ~100.6) on May 26 before a sharp selloff through mid-June, bottoming near $242 (indexed ~80.8) on June 10. The stock partially recovered through late June on PJM market reform optimism, then sold off again through July 1 (indexed ~78.9) before recovering to the $265–$275 range. The </w:t>
      </w:r>
      <w:r>
        <w:rPr>
          <w:rFonts w:ascii="Calibri" w:hAnsi="Calibri"/>
          <w:b/>
          <w:color w:val="525866"/>
          <w:sz w:val="22"/>
        </w:rPr>
        <w:t>PJM capacity auction result ($325/MW, 18,875 MW cleared)</w:t>
      </w:r>
      <w:r>
        <w:rPr>
          <w:rFonts w:ascii="Calibri" w:hAnsi="Calibri"/>
          <w:color w:val="525866"/>
          <w:sz w:val="22"/>
        </w:rPr>
        <w:t xml:space="preserve"> announced July 14 provided a brief lift but did not sustain a re-rating. The Calpine lockup expiry on June 30 (first tranche) coincided with the trough, suggesting technical selling pressure was a meaningful contributor. XLU has been broadly flat to slightly down (−3.3%) while SPY has rallied +4.1%, highlighting that CEG’s underperformance is company-specific rather than sector-driven.</w:t>
      </w:r>
    </w:p>
    <w:p>
      <w:r>
        <w:br w:type="page"/>
      </w:r>
    </w:p>
    <w:p>
      <w:pPr>
        <w:pStyle w:val="Heading2"/>
      </w:pPr>
      <w:r>
        <w:rPr>
          <w:rFonts w:ascii="Calibri" w:hAnsi="Calibri"/>
          <w:b/>
          <w:color w:val="3B4259"/>
          <w:sz w:val="28"/>
        </w:rPr>
        <w:t>6. Peer Commentaries — Q2 2026 Read-Throughs</w:t>
      </w:r>
    </w:p>
    <w:p>
      <w:r>
        <w:rPr>
          <w:rFonts w:ascii="Calibri" w:hAnsi="Calibri"/>
          <w:b/>
          <w:color w:val="525866"/>
          <w:sz w:val="22"/>
        </w:rPr>
        <w:t xml:space="preserve">Key Takeaway: </w:t>
      </w:r>
      <w:r>
        <w:rPr>
          <w:rFonts w:ascii="Calibri" w:hAnsi="Calibri"/>
          <w:color w:val="525866"/>
          <w:sz w:val="22"/>
        </w:rPr>
        <w:t>Q2 2026 earnings calls from NEE, NRG, EXC, ETR, D, and DUK collectively confirm that power demand is accelerating faster than supply, PJM capacity markets remain structurally tight (third consecutive auction at the FERC price cap), and hyperscaler deal activity is robust — all constructive read-throughs for CEG’s nuclear and capacity revenue outlook. The key negative read-through is NRG’s commentary on soft ERCOT power prices ($33/MWh in Q2 vs. $52 planning assumption), which is relevant to CEG’s Calpine gas fleet.</w:t>
      </w:r>
    </w:p>
    <w:p>
      <w:pPr>
        <w:pStyle w:val="Heading3"/>
      </w:pPr>
      <w:r>
        <w:rPr>
          <w:rFonts w:ascii="Calibri" w:hAnsi="Calibri"/>
          <w:b/>
          <w:color w:val="3B4259"/>
          <w:sz w:val="24"/>
        </w:rPr>
        <w:t>NextEra Energy (NEE) — Q2 2026 Earnings Call (July 24, 2026)</w:t>
      </w:r>
    </w:p>
    <w:p>
      <w:r>
        <w:rPr>
          <w:rFonts w:ascii="Calibri" w:hAnsi="Calibri"/>
          <w:b/>
          <w:color w:val="525866"/>
          <w:sz w:val="22"/>
        </w:rPr>
        <w:t xml:space="preserve">Read-through relevance: </w:t>
      </w:r>
      <w:r>
        <w:rPr>
          <w:rFonts w:ascii="Calibri" w:hAnsi="Calibri"/>
          <w:color w:val="525866"/>
          <w:sz w:val="22"/>
        </w:rPr>
        <w:t>Positive for CEG’s nuclear and capacity revenue outlook; confirms accelerating power demand and premium pricing for clean energy.</w:t>
      </w:r>
    </w:p>
    <w:p>
      <w:pPr>
        <w:pStyle w:val="ListBullet"/>
        <w:ind w:left="360" w:hanging="360"/>
      </w:pPr>
      <w:r>
        <w:rPr>
          <w:rFonts w:ascii="Calibri" w:hAnsi="Calibri"/>
          <w:b/>
          <w:color w:val="525866"/>
          <w:sz w:val="22"/>
        </w:rPr>
        <w:t xml:space="preserve">Power demand acceleration: </w:t>
      </w:r>
      <w:r>
        <w:rPr>
          <w:rFonts w:ascii="Calibri" w:hAnsi="Calibri"/>
          <w:color w:val="525866"/>
          <w:sz w:val="22"/>
        </w:rPr>
        <w:t xml:space="preserve">"In 2026 and beyond, power demand continues to accelerate." NEE updated its large load expectations from 6 GW to 8 GW by 2032 at FPL, with 21 GW of large load interest and advanced discussions on 12 GW. </w:t>
      </w:r>
      <w:r>
        <w:rPr>
          <w:rFonts w:ascii="Calibri" w:hAnsi="Calibri"/>
          <w:b/>
          <w:color w:val="525866"/>
          <w:sz w:val="22"/>
        </w:rPr>
        <w:t xml:space="preserve">Read-through: </w:t>
      </w:r>
      <w:r>
        <w:rPr>
          <w:rFonts w:ascii="Calibri" w:hAnsi="Calibri"/>
          <w:color w:val="525866"/>
          <w:sz w:val="22"/>
        </w:rPr>
        <w:t>Confirms the structural demand backdrop that underpins CEG’s hyperscaler deal pipeline and premium pricing thesis.</w:t>
      </w:r>
    </w:p>
    <w:p>
      <w:pPr>
        <w:pStyle w:val="ListBullet"/>
        <w:ind w:left="360" w:hanging="360"/>
      </w:pPr>
      <w:r>
        <w:rPr>
          <w:rFonts w:ascii="Calibri" w:hAnsi="Calibri"/>
          <w:b/>
          <w:color w:val="525866"/>
          <w:sz w:val="22"/>
        </w:rPr>
        <w:t xml:space="preserve">Premium pricing for clean energy: </w:t>
      </w:r>
      <w:r>
        <w:rPr>
          <w:rFonts w:ascii="Calibri" w:hAnsi="Calibri"/>
          <w:color w:val="525866"/>
          <w:sz w:val="22"/>
        </w:rPr>
        <w:t xml:space="preserve">NEE’s recontracting this quarter was priced at a premium of roughly $20/MWh above recent realized pricing, locked in for ~15 years on average. </w:t>
      </w:r>
      <w:r>
        <w:rPr>
          <w:rFonts w:ascii="Calibri" w:hAnsi="Calibri"/>
          <w:b/>
          <w:color w:val="525866"/>
          <w:sz w:val="22"/>
        </w:rPr>
        <w:t xml:space="preserve">Read-through: </w:t>
      </w:r>
      <w:r>
        <w:rPr>
          <w:rFonts w:ascii="Calibri" w:hAnsi="Calibri"/>
          <w:color w:val="525866"/>
          <w:sz w:val="22"/>
        </w:rPr>
        <w:t>Supports CEG’s commercial margins thesis — the market is paying a premium for long-term, clean, reliable power.</w:t>
      </w:r>
    </w:p>
    <w:p>
      <w:pPr>
        <w:pStyle w:val="ListBullet"/>
        <w:ind w:left="360" w:hanging="360"/>
      </w:pPr>
      <w:r>
        <w:rPr>
          <w:rFonts w:ascii="Calibri" w:hAnsi="Calibri"/>
          <w:b/>
          <w:color w:val="525866"/>
          <w:sz w:val="22"/>
        </w:rPr>
        <w:t xml:space="preserve">Nuclear recontracting: </w:t>
      </w:r>
      <w:r>
        <w:rPr>
          <w:rFonts w:ascii="Calibri" w:hAnsi="Calibri"/>
          <w:color w:val="525866"/>
          <w:sz w:val="22"/>
        </w:rPr>
        <w:t xml:space="preserve">Energy Resources has 1.5 GW of nuclear recontracting opportunities through 2032, priced at a premium. Duane Arnold recommissioning on track for Q1 2029. </w:t>
      </w:r>
      <w:r>
        <w:rPr>
          <w:rFonts w:ascii="Calibri" w:hAnsi="Calibri"/>
          <w:b/>
          <w:color w:val="525866"/>
          <w:sz w:val="22"/>
        </w:rPr>
        <w:t xml:space="preserve">Read-through: </w:t>
      </w:r>
      <w:r>
        <w:rPr>
          <w:rFonts w:ascii="Calibri" w:hAnsi="Calibri"/>
          <w:color w:val="525866"/>
          <w:sz w:val="22"/>
        </w:rPr>
        <w:t>Validates the scarcity value of nuclear assets and the premium pricing environment CEG is operating in.</w:t>
      </w:r>
    </w:p>
    <w:p>
      <w:pPr>
        <w:pStyle w:val="ListBullet"/>
        <w:ind w:left="360" w:hanging="360"/>
      </w:pPr>
      <w:r>
        <w:rPr>
          <w:rFonts w:ascii="Calibri" w:hAnsi="Calibri"/>
          <w:b/>
          <w:color w:val="525866"/>
          <w:sz w:val="22"/>
        </w:rPr>
        <w:t xml:space="preserve">Data center hub strategy: </w:t>
      </w:r>
      <w:r>
        <w:rPr>
          <w:rFonts w:ascii="Calibri" w:hAnsi="Calibri"/>
          <w:color w:val="525866"/>
          <w:sz w:val="22"/>
        </w:rPr>
        <w:t xml:space="preserve">NEE now has 30 potential data center hubs under discussion (targeting 40 by year-end), with a base case of 15 GW of new generation for large load by 2035. "Supply is not matching demand today, which is resulting in higher pricing across the board." </w:t>
      </w:r>
      <w:r>
        <w:rPr>
          <w:rFonts w:ascii="Calibri" w:hAnsi="Calibri"/>
          <w:b/>
          <w:color w:val="525866"/>
          <w:sz w:val="22"/>
        </w:rPr>
        <w:t xml:space="preserve">Read-through: </w:t>
      </w:r>
      <w:r>
        <w:rPr>
          <w:rFonts w:ascii="Calibri" w:hAnsi="Calibri"/>
          <w:color w:val="525866"/>
          <w:sz w:val="22"/>
        </w:rPr>
        <w:t>Broad confirmation that hyperscaler demand is real and durable, supporting CEG’s pipeline confidence.</w:t>
      </w:r>
    </w:p>
    <w:p>
      <w:pPr>
        <w:pStyle w:val="Heading3"/>
      </w:pPr>
      <w:r>
        <w:rPr>
          <w:rFonts w:ascii="Calibri" w:hAnsi="Calibri"/>
          <w:b/>
          <w:color w:val="3B4259"/>
          <w:sz w:val="24"/>
        </w:rPr>
        <w:t>NRG Energy (NRG) — Q2 2026 Earnings Call (August 4, 2026)</w:t>
      </w:r>
    </w:p>
    <w:p>
      <w:r>
        <w:rPr>
          <w:rFonts w:ascii="Calibri" w:hAnsi="Calibri"/>
          <w:b/>
          <w:color w:val="525866"/>
          <w:sz w:val="22"/>
        </w:rPr>
        <w:t xml:space="preserve">Read-through relevance: </w:t>
      </w:r>
      <w:r>
        <w:rPr>
          <w:rFonts w:ascii="Calibri" w:hAnsi="Calibri"/>
          <w:color w:val="525866"/>
          <w:sz w:val="22"/>
        </w:rPr>
        <w:t>Mixed — positive on hyperscaler deal structure and PJM market tightness; negative on ERCOT power prices (relevant to CEG’s Calpine gas fleet).</w:t>
      </w:r>
    </w:p>
    <w:p>
      <w:pPr>
        <w:pStyle w:val="ListBullet"/>
        <w:ind w:left="360" w:hanging="360"/>
      </w:pPr>
      <w:r>
        <w:rPr>
          <w:rFonts w:ascii="Calibri" w:hAnsi="Calibri"/>
          <w:b/>
          <w:color w:val="525866"/>
          <w:sz w:val="22"/>
        </w:rPr>
        <w:t xml:space="preserve">Hyperscaler deal signed (1.2 GW Texas): </w:t>
      </w:r>
      <w:r>
        <w:rPr>
          <w:rFonts w:ascii="Calibri" w:hAnsi="Calibri"/>
          <w:color w:val="525866"/>
          <w:sz w:val="22"/>
        </w:rPr>
        <w:t xml:space="preserve">NRG aligned on principal commercial terms with a "leading global cloud and AI hyperscaler" for 1.2 GW of new gas generation in Texas (potential to expand to 2.4 GW), with a 15-year term, investment-grade parent guarantee, and $500M of annual adjusted EBITDA at full operation. </w:t>
      </w:r>
      <w:r>
        <w:rPr>
          <w:rFonts w:ascii="Calibri" w:hAnsi="Calibri"/>
          <w:b/>
          <w:color w:val="525866"/>
          <w:sz w:val="22"/>
        </w:rPr>
        <w:t xml:space="preserve">Read-through: </w:t>
      </w:r>
      <w:r>
        <w:rPr>
          <w:rFonts w:ascii="Calibri" w:hAnsi="Calibri"/>
          <w:color w:val="525866"/>
          <w:sz w:val="22"/>
        </w:rPr>
        <w:t>Confirms hyperscaler deal activity is accelerating and deal structures are becoming standardized — positive for CEG’s own pipeline, though CEG’s nuclear-based deals would command different economics.</w:t>
      </w:r>
    </w:p>
    <w:p>
      <w:pPr>
        <w:pStyle w:val="ListBullet"/>
        <w:ind w:left="360" w:hanging="360"/>
      </w:pPr>
      <w:r>
        <w:rPr>
          <w:rFonts w:ascii="Calibri" w:hAnsi="Calibri"/>
          <w:b/>
          <w:color w:val="525866"/>
          <w:sz w:val="22"/>
        </w:rPr>
        <w:t xml:space="preserve">BYOP framework as industry standard: </w:t>
      </w:r>
      <w:r>
        <w:rPr>
          <w:rFonts w:ascii="Calibri" w:hAnsi="Calibri"/>
          <w:color w:val="525866"/>
          <w:sz w:val="22"/>
        </w:rPr>
        <w:t xml:space="preserve">NRG described its "Bring Your Own Power" structure (customer capital commitment supports new generation, capacity payment independent of utilization) as the model it believes should be the industry standard. </w:t>
      </w:r>
      <w:r>
        <w:rPr>
          <w:rFonts w:ascii="Calibri" w:hAnsi="Calibri"/>
          <w:b/>
          <w:color w:val="525866"/>
          <w:sz w:val="22"/>
        </w:rPr>
        <w:t xml:space="preserve">Read-through: </w:t>
      </w:r>
      <w:r>
        <w:rPr>
          <w:rFonts w:ascii="Calibri" w:hAnsi="Calibri"/>
          <w:color w:val="525866"/>
          <w:sz w:val="22"/>
        </w:rPr>
        <w:t>Relevant to CEG’s own deal structuring for co-location and front-of-meter agreements; validates the commercial framework CEG has been advocating.</w:t>
      </w:r>
    </w:p>
    <w:p>
      <w:pPr>
        <w:pStyle w:val="ListBullet"/>
        <w:ind w:left="360" w:hanging="360"/>
      </w:pPr>
      <w:r>
        <w:rPr>
          <w:rFonts w:ascii="Calibri" w:hAnsi="Calibri"/>
          <w:b/>
          <w:color w:val="525866"/>
          <w:sz w:val="22"/>
        </w:rPr>
        <w:t xml:space="preserve">Soft ERCOT power prices (negative): </w:t>
      </w:r>
      <w:r>
        <w:rPr>
          <w:rFonts w:ascii="Calibri" w:hAnsi="Calibri"/>
          <w:color w:val="525866"/>
          <w:sz w:val="22"/>
        </w:rPr>
        <w:t xml:space="preserve">"ERCOT Houston around the clock prices averaged $33/MWh during the quarter, 8% lower than last year, and well below our 2026 planning assumption of $52." NRG noted the ERCOT market "is not valuing anything right now." </w:t>
      </w:r>
      <w:r>
        <w:rPr>
          <w:rFonts w:ascii="Calibri" w:hAnsi="Calibri"/>
          <w:b/>
          <w:color w:val="525866"/>
          <w:sz w:val="22"/>
        </w:rPr>
        <w:t xml:space="preserve">Read-through: </w:t>
      </w:r>
      <w:r>
        <w:rPr>
          <w:rFonts w:ascii="Calibri" w:hAnsi="Calibri"/>
          <w:color w:val="525866"/>
          <w:sz w:val="22"/>
        </w:rPr>
        <w:t>Negative for CEG’s Calpine gas fleet in ERCOT, which is exposed to merchant power prices. This may weigh on Q2 commercial margins from the gas segment.</w:t>
      </w:r>
    </w:p>
    <w:p>
      <w:pPr>
        <w:pStyle w:val="ListBullet"/>
        <w:ind w:left="360" w:hanging="360"/>
      </w:pPr>
      <w:r>
        <w:rPr>
          <w:rFonts w:ascii="Calibri" w:hAnsi="Calibri"/>
          <w:b/>
          <w:color w:val="525866"/>
          <w:sz w:val="22"/>
        </w:rPr>
        <w:t xml:space="preserve">PJM market tightening: </w:t>
      </w:r>
      <w:r>
        <w:rPr>
          <w:rFonts w:ascii="Calibri" w:hAnsi="Calibri"/>
          <w:color w:val="525866"/>
          <w:sz w:val="22"/>
        </w:rPr>
        <w:t xml:space="preserve">"The market setup is increasingly compelling across ERCOT and PJM. Projected demand growth is materially ahead of the supply currently expected to come online." NRG has ~2 GW of upgrade opportunities across its PJM fleet. </w:t>
      </w:r>
      <w:r>
        <w:rPr>
          <w:rFonts w:ascii="Calibri" w:hAnsi="Calibri"/>
          <w:b/>
          <w:color w:val="525866"/>
          <w:sz w:val="22"/>
        </w:rPr>
        <w:t xml:space="preserve">Read-through: </w:t>
      </w:r>
      <w:r>
        <w:rPr>
          <w:rFonts w:ascii="Calibri" w:hAnsi="Calibri"/>
          <w:color w:val="525866"/>
          <w:sz w:val="22"/>
        </w:rPr>
        <w:t>Positive for CEG’s PJM capacity revenues and nuclear fleet value.</w:t>
      </w:r>
    </w:p>
    <w:p>
      <w:pPr>
        <w:pStyle w:val="Heading3"/>
      </w:pPr>
      <w:r>
        <w:rPr>
          <w:rFonts w:ascii="Calibri" w:hAnsi="Calibri"/>
          <w:b/>
          <w:color w:val="3B4259"/>
          <w:sz w:val="24"/>
        </w:rPr>
        <w:t>Exelon (EXC) — Q2 2026 Earnings Call (July 30, 2026)</w:t>
      </w:r>
    </w:p>
    <w:p>
      <w:r>
        <w:rPr>
          <w:rFonts w:ascii="Calibri" w:hAnsi="Calibri"/>
          <w:b/>
          <w:color w:val="525866"/>
          <w:sz w:val="22"/>
        </w:rPr>
        <w:t xml:space="preserve">Read-through relevance: </w:t>
      </w:r>
      <w:r>
        <w:rPr>
          <w:rFonts w:ascii="Calibri" w:hAnsi="Calibri"/>
          <w:color w:val="525866"/>
          <w:sz w:val="22"/>
        </w:rPr>
        <w:t>Positive for CEG’s PJM capacity market thesis; confirms structural supply shortfall and scarcity pricing dynamics.</w:t>
      </w:r>
    </w:p>
    <w:p>
      <w:pPr>
        <w:pStyle w:val="ListBullet"/>
        <w:ind w:left="360" w:hanging="360"/>
      </w:pPr>
      <w:r>
        <w:rPr>
          <w:rFonts w:ascii="Calibri" w:hAnsi="Calibri"/>
          <w:b/>
          <w:color w:val="525866"/>
          <w:sz w:val="22"/>
        </w:rPr>
        <w:t xml:space="preserve">PJM capacity market at price cap for third consecutive auction: </w:t>
      </w:r>
      <w:r>
        <w:rPr>
          <w:rFonts w:ascii="Calibri" w:hAnsi="Calibri"/>
          <w:color w:val="525866"/>
          <w:sz w:val="22"/>
        </w:rPr>
        <w:t xml:space="preserve">"For the third consecutive auction, prices cleared at the FERC-approved price cap." The market fell short of PJM’s reliability requirement by approximately 6.8 GW (larger than the prior 6.5 GW shortfall). Only ~525 MW of new generation and uprates cleared, indicating the market is not attracting sufficient new supply even at the highest allowed price. </w:t>
      </w:r>
      <w:r>
        <w:rPr>
          <w:rFonts w:ascii="Calibri" w:hAnsi="Calibri"/>
          <w:b/>
          <w:color w:val="525866"/>
          <w:sz w:val="22"/>
        </w:rPr>
        <w:t xml:space="preserve">Read-through: </w:t>
      </w:r>
      <w:r>
        <w:rPr>
          <w:rFonts w:ascii="Calibri" w:hAnsi="Calibri"/>
          <w:color w:val="525866"/>
          <w:sz w:val="22"/>
        </w:rPr>
        <w:t>Highly positive for CEG — PJM’s own simulation shows prices would have cleared at ~$555/MW-day across the footprint (vs. the $330 cap), confirming severe underlying scarcity that supports CEG’s capacity revenue outlook and the $325/MW clearing price in the 2028–2029 auction.</w:t>
      </w:r>
    </w:p>
    <w:p>
      <w:pPr>
        <w:pStyle w:val="ListBullet"/>
        <w:ind w:left="360" w:hanging="360"/>
      </w:pPr>
      <w:r>
        <w:rPr>
          <w:rFonts w:ascii="Calibri" w:hAnsi="Calibri"/>
          <w:b/>
          <w:color w:val="525866"/>
          <w:sz w:val="22"/>
        </w:rPr>
        <w:t xml:space="preserve">Record PJM peak demand in July: </w:t>
      </w:r>
      <w:r>
        <w:rPr>
          <w:rFonts w:ascii="Calibri" w:hAnsi="Calibri"/>
          <w:color w:val="525866"/>
          <w:sz w:val="22"/>
        </w:rPr>
        <w:t xml:space="preserve">PJM experienced a record peak demand of 168 GW in July, leading to the activation of emergency procedures. Power prices surged tenfold from ~$80 to ~$800/MWh during the event. </w:t>
      </w:r>
      <w:r>
        <w:rPr>
          <w:rFonts w:ascii="Calibri" w:hAnsi="Calibri"/>
          <w:b/>
          <w:color w:val="525866"/>
          <w:sz w:val="22"/>
        </w:rPr>
        <w:t xml:space="preserve">Read-through: </w:t>
      </w:r>
      <w:r>
        <w:rPr>
          <w:rFonts w:ascii="Calibri" w:hAnsi="Calibri"/>
          <w:color w:val="525866"/>
          <w:sz w:val="22"/>
        </w:rPr>
        <w:t>Validates the scarcity value of CEG’s nuclear baseload fleet and supports the case for premium pricing on new hyperscaler contracts.</w:t>
      </w:r>
    </w:p>
    <w:p>
      <w:pPr>
        <w:pStyle w:val="ListBullet"/>
        <w:ind w:left="360" w:hanging="360"/>
      </w:pPr>
      <w:r>
        <w:rPr>
          <w:rFonts w:ascii="Calibri" w:hAnsi="Calibri"/>
          <w:b/>
          <w:color w:val="525866"/>
          <w:sz w:val="22"/>
        </w:rPr>
        <w:t xml:space="preserve">Data center demand revised down (but quality up): </w:t>
      </w:r>
      <w:r>
        <w:rPr>
          <w:rFonts w:ascii="Calibri" w:hAnsi="Calibri"/>
          <w:color w:val="525866"/>
          <w:sz w:val="22"/>
        </w:rPr>
        <w:t xml:space="preserve">EXC’s data center growth slide now shows 36 GW (down ~11 GW from 43 GW), reflecting the removal of speculative projects. Of the 11 GW reduction, 4 GW have signed Transmission Security Agreements backed by $1B of collateral. </w:t>
      </w:r>
      <w:r>
        <w:rPr>
          <w:rFonts w:ascii="Calibri" w:hAnsi="Calibri"/>
          <w:b/>
          <w:color w:val="525866"/>
          <w:sz w:val="22"/>
        </w:rPr>
        <w:t xml:space="preserve">Read-through: </w:t>
      </w:r>
      <w:r>
        <w:rPr>
          <w:rFonts w:ascii="Calibri" w:hAnsi="Calibri"/>
          <w:color w:val="525866"/>
          <w:sz w:val="22"/>
        </w:rPr>
        <w:t>Suggests the market is maturing from speculative to committed demand — positive for CEG’s deal pipeline quality, though it may slow headline deal announcement pace.</w:t>
      </w:r>
    </w:p>
    <w:p>
      <w:pPr>
        <w:pStyle w:val="Heading3"/>
      </w:pPr>
      <w:r>
        <w:rPr>
          <w:rFonts w:ascii="Calibri" w:hAnsi="Calibri"/>
          <w:b/>
          <w:color w:val="3B4259"/>
          <w:sz w:val="24"/>
        </w:rPr>
        <w:t>Dominion Energy (D) — Q2 2026 Earnings Call (July 31, 2026)</w:t>
      </w:r>
    </w:p>
    <w:p>
      <w:r>
        <w:rPr>
          <w:rFonts w:ascii="Calibri" w:hAnsi="Calibri"/>
          <w:b/>
          <w:color w:val="525866"/>
          <w:sz w:val="22"/>
        </w:rPr>
        <w:t xml:space="preserve">Read-through relevance: </w:t>
      </w:r>
      <w:r>
        <w:rPr>
          <w:rFonts w:ascii="Calibri" w:hAnsi="Calibri"/>
          <w:color w:val="525866"/>
          <w:sz w:val="22"/>
        </w:rPr>
        <w:t>Positive for CEG’s nuclear asset value (Millstone read-through) and data center demand durability in the Mid-Atlantic/PJM region.</w:t>
      </w:r>
    </w:p>
    <w:p>
      <w:pPr>
        <w:pStyle w:val="ListBullet"/>
        <w:ind w:left="360" w:hanging="360"/>
      </w:pPr>
      <w:r>
        <w:rPr>
          <w:rFonts w:ascii="Calibri" w:hAnsi="Calibri"/>
          <w:b/>
          <w:color w:val="525866"/>
          <w:sz w:val="22"/>
        </w:rPr>
        <w:t xml:space="preserve">Virginia data center demand robust and durable: </w:t>
      </w:r>
      <w:r>
        <w:rPr>
          <w:rFonts w:ascii="Calibri" w:hAnsi="Calibri"/>
          <w:color w:val="525866"/>
          <w:sz w:val="22"/>
        </w:rPr>
        <w:t xml:space="preserve">Dominion now has over 53 GW of data center capacity in various stages of contracting, including ~12 GW contracted under electric service agreements, adding over 5 GW of contracts since year-end. Customers emphasize that "many of their highest value workloads need to be built and remain in Virginia." </w:t>
      </w:r>
      <w:r>
        <w:rPr>
          <w:rFonts w:ascii="Calibri" w:hAnsi="Calibri"/>
          <w:b/>
          <w:color w:val="525866"/>
          <w:sz w:val="22"/>
        </w:rPr>
        <w:t xml:space="preserve">Read-through: </w:t>
      </w:r>
      <w:r>
        <w:rPr>
          <w:rFonts w:ascii="Calibri" w:hAnsi="Calibri"/>
          <w:color w:val="525866"/>
          <w:sz w:val="22"/>
        </w:rPr>
        <w:t>Confirms the durability of hyperscaler demand in the Mid-Atlantic/PJM region where CEG’s nuclear fleet is concentrated.</w:t>
      </w:r>
    </w:p>
    <w:p>
      <w:pPr>
        <w:pStyle w:val="ListBullet"/>
        <w:ind w:left="360" w:hanging="360"/>
      </w:pPr>
      <w:r>
        <w:rPr>
          <w:rFonts w:ascii="Calibri" w:hAnsi="Calibri"/>
          <w:b/>
          <w:color w:val="525866"/>
          <w:sz w:val="22"/>
        </w:rPr>
        <w:t xml:space="preserve">Millstone nuclear PPA delivering value: </w:t>
      </w:r>
      <w:r>
        <w:rPr>
          <w:rFonts w:ascii="Calibri" w:hAnsi="Calibri"/>
          <w:color w:val="525866"/>
          <w:sz w:val="22"/>
        </w:rPr>
        <w:t xml:space="preserve">Dominion’s Millstone nuclear PPA is expected to save Connecticut customers over $300M this year and over $900M over its 10-year life based on current forward curves. A new solicitation decision from Connecticut DEEP is expected in the near term. </w:t>
      </w:r>
      <w:r>
        <w:rPr>
          <w:rFonts w:ascii="Calibri" w:hAnsi="Calibri"/>
          <w:b/>
          <w:color w:val="525866"/>
          <w:sz w:val="22"/>
        </w:rPr>
        <w:t xml:space="preserve">Read-through: </w:t>
      </w:r>
      <w:r>
        <w:rPr>
          <w:rFonts w:ascii="Calibri" w:hAnsi="Calibri"/>
          <w:color w:val="525866"/>
          <w:sz w:val="22"/>
        </w:rPr>
        <w:t>Validates the premium value of nuclear power purchase agreements and the strong economics of long-term nuclear contracts — directly relevant to CEG’s own contracting strategy.</w:t>
      </w:r>
    </w:p>
    <w:p>
      <w:pPr>
        <w:pStyle w:val="ListBullet"/>
        <w:ind w:left="360" w:hanging="360"/>
      </w:pPr>
      <w:r>
        <w:rPr>
          <w:rFonts w:ascii="Calibri" w:hAnsi="Calibri"/>
          <w:b/>
          <w:color w:val="525866"/>
          <w:sz w:val="22"/>
        </w:rPr>
        <w:t xml:space="preserve">Record peak demand in Dom zone: </w:t>
      </w:r>
      <w:r>
        <w:rPr>
          <w:rFonts w:ascii="Calibri" w:hAnsi="Calibri"/>
          <w:color w:val="525866"/>
          <w:sz w:val="22"/>
        </w:rPr>
        <w:t xml:space="preserve">Nine of the Dom zone’s top ten all-time peak days occurred in 2026, including the eight highest summer peak days in the last two months. </w:t>
      </w:r>
      <w:r>
        <w:rPr>
          <w:rFonts w:ascii="Calibri" w:hAnsi="Calibri"/>
          <w:b/>
          <w:color w:val="525866"/>
          <w:sz w:val="22"/>
        </w:rPr>
        <w:t xml:space="preserve">Read-through: </w:t>
      </w:r>
      <w:r>
        <w:rPr>
          <w:rFonts w:ascii="Calibri" w:hAnsi="Calibri"/>
          <w:color w:val="525866"/>
          <w:sz w:val="22"/>
        </w:rPr>
        <w:t>Confirms the power demand surge in CEG’s core Mid-Atlantic operating region, supporting capacity revenue and commercial margin outlook.</w:t>
      </w:r>
    </w:p>
    <w:p>
      <w:pPr>
        <w:pStyle w:val="Heading3"/>
      </w:pPr>
      <w:r>
        <w:rPr>
          <w:rFonts w:ascii="Calibri" w:hAnsi="Calibri"/>
          <w:b/>
          <w:color w:val="3B4259"/>
          <w:sz w:val="24"/>
        </w:rPr>
        <w:t>Duke Energy (DUK) — Q2 2026 Earnings Call (August 4, 2026)</w:t>
      </w:r>
    </w:p>
    <w:p>
      <w:r>
        <w:rPr>
          <w:rFonts w:ascii="Calibri" w:hAnsi="Calibri"/>
          <w:b/>
          <w:color w:val="525866"/>
          <w:sz w:val="22"/>
        </w:rPr>
        <w:t xml:space="preserve">Read-through relevance: </w:t>
      </w:r>
      <w:r>
        <w:rPr>
          <w:rFonts w:ascii="Calibri" w:hAnsi="Calibri"/>
          <w:color w:val="525866"/>
          <w:sz w:val="22"/>
        </w:rPr>
        <w:t>Positive for CEG’s data center demand thesis and nuclear asset scarcity value; confirms accelerating load growth and the need for all-of-the-above generation.</w:t>
      </w:r>
    </w:p>
    <w:p>
      <w:pPr>
        <w:pStyle w:val="ListBullet"/>
        <w:ind w:left="360" w:hanging="360"/>
      </w:pPr>
      <w:r>
        <w:rPr>
          <w:rFonts w:ascii="Calibri" w:hAnsi="Calibri"/>
          <w:b/>
          <w:color w:val="525866"/>
          <w:sz w:val="22"/>
        </w:rPr>
        <w:t xml:space="preserve">Load forecast upgraded to high scenario: </w:t>
      </w:r>
      <w:r>
        <w:rPr>
          <w:rFonts w:ascii="Calibri" w:hAnsi="Calibri"/>
          <w:color w:val="525866"/>
          <w:sz w:val="22"/>
        </w:rPr>
        <w:t xml:space="preserve">Duke’s Carolinas load forecast has increased to the high load scenario due to newly signed ESAs, confirming the need for all near-term resources. Duke has secured 7.8 GW of ESAs with data center customers and expects the remainder of its 15.4 GW pipeline to convert to ESAs by H1 2027. </w:t>
      </w:r>
      <w:r>
        <w:rPr>
          <w:rFonts w:ascii="Calibri" w:hAnsi="Calibri"/>
          <w:b/>
          <w:color w:val="525866"/>
          <w:sz w:val="22"/>
        </w:rPr>
        <w:t xml:space="preserve">Read-through: </w:t>
      </w:r>
      <w:r>
        <w:rPr>
          <w:rFonts w:ascii="Calibri" w:hAnsi="Calibri"/>
          <w:color w:val="525866"/>
          <w:sz w:val="22"/>
        </w:rPr>
        <w:t>Confirms the structural demand backdrop; $5–$10B of upside to Duke’s five-year capital plan signals the scale of infrastructure investment needed — positive for power price outlook.</w:t>
      </w:r>
    </w:p>
    <w:p>
      <w:pPr>
        <w:pStyle w:val="ListBullet"/>
        <w:ind w:left="360" w:hanging="360"/>
      </w:pPr>
      <w:r>
        <w:rPr>
          <w:rFonts w:ascii="Calibri" w:hAnsi="Calibri"/>
          <w:b/>
          <w:color w:val="525866"/>
          <w:sz w:val="22"/>
        </w:rPr>
        <w:t xml:space="preserve">New nuclear: financial protections required before proceeding: </w:t>
      </w:r>
      <w:r>
        <w:rPr>
          <w:rFonts w:ascii="Calibri" w:hAnsi="Calibri"/>
          <w:color w:val="525866"/>
          <w:sz w:val="22"/>
        </w:rPr>
        <w:t xml:space="preserve">Duke emphasized that "additional financial protections are needed before we would propose a new nuclear project," citing first-of-a-kind and supply chain risks. The AP1000 appears to be in the lead. </w:t>
      </w:r>
      <w:r>
        <w:rPr>
          <w:rFonts w:ascii="Calibri" w:hAnsi="Calibri"/>
          <w:b/>
          <w:color w:val="525866"/>
          <w:sz w:val="22"/>
        </w:rPr>
        <w:t xml:space="preserve">Read-through: </w:t>
      </w:r>
      <w:r>
        <w:rPr>
          <w:rFonts w:ascii="Calibri" w:hAnsi="Calibri"/>
          <w:color w:val="525866"/>
          <w:sz w:val="22"/>
        </w:rPr>
        <w:t>Reinforces the scarcity value of CEG’s existing nuclear fleet — new nuclear is years away and requires significant de-risking, making CEG’s operating fleet uniquely valuable.</w:t>
      </w:r>
    </w:p>
    <w:p>
      <w:pPr>
        <w:pStyle w:val="ListBullet"/>
        <w:ind w:left="360" w:hanging="360"/>
      </w:pPr>
      <w:r>
        <w:rPr>
          <w:rFonts w:ascii="Calibri" w:hAnsi="Calibri"/>
          <w:b/>
          <w:color w:val="525866"/>
          <w:sz w:val="22"/>
        </w:rPr>
        <w:t xml:space="preserve">Record generation build underway: </w:t>
      </w:r>
      <w:r>
        <w:rPr>
          <w:rFonts w:ascii="Calibri" w:hAnsi="Calibri"/>
          <w:color w:val="525866"/>
          <w:sz w:val="22"/>
        </w:rPr>
        <w:t xml:space="preserve">Duke is executing the industry’s largest regulated capital plan, deploying more than $1B/month, with 15 GW of new capacity targeted by 2031. Gas portfolio has ~5 GW under construction and 2.5 GW in development. </w:t>
      </w:r>
      <w:r>
        <w:rPr>
          <w:rFonts w:ascii="Calibri" w:hAnsi="Calibri"/>
          <w:b/>
          <w:color w:val="525866"/>
          <w:sz w:val="22"/>
        </w:rPr>
        <w:t xml:space="preserve">Read-through: </w:t>
      </w:r>
      <w:r>
        <w:rPr>
          <w:rFonts w:ascii="Calibri" w:hAnsi="Calibri"/>
          <w:color w:val="525866"/>
          <w:sz w:val="22"/>
        </w:rPr>
        <w:t>Confirms the scale of investment needed to meet demand growth — supportive of elevated power prices and capacity market tightness through the decade.</w:t>
      </w:r>
    </w:p>
    <w:p>
      <w:pPr>
        <w:pStyle w:val="Heading3"/>
      </w:pPr>
      <w:r>
        <w:rPr>
          <w:rFonts w:ascii="Calibri" w:hAnsi="Calibri"/>
          <w:b/>
          <w:color w:val="3B4259"/>
          <w:sz w:val="24"/>
        </w:rPr>
        <w:t>Entergy (ETR) — Q2 2026 Earnings Call (July 29, 2026)</w:t>
      </w:r>
    </w:p>
    <w:p>
      <w:r>
        <w:rPr>
          <w:rFonts w:ascii="Calibri" w:hAnsi="Calibri"/>
          <w:b/>
          <w:color w:val="525866"/>
          <w:sz w:val="22"/>
        </w:rPr>
        <w:t xml:space="preserve">Read-through relevance: </w:t>
      </w:r>
      <w:r>
        <w:rPr>
          <w:rFonts w:ascii="Calibri" w:hAnsi="Calibri"/>
          <w:color w:val="525866"/>
          <w:sz w:val="22"/>
        </w:rPr>
        <w:t>Positive for CEG’s hyperscaler demand thesis; confirms broad-based industrial and data center demand growth across multiple regions.</w:t>
      </w:r>
    </w:p>
    <w:p>
      <w:pPr>
        <w:pStyle w:val="ListBullet"/>
        <w:ind w:left="360" w:hanging="360"/>
      </w:pPr>
      <w:r>
        <w:rPr>
          <w:rFonts w:ascii="Calibri" w:hAnsi="Calibri"/>
          <w:b/>
          <w:color w:val="525866"/>
          <w:sz w:val="22"/>
        </w:rPr>
        <w:t xml:space="preserve">Hyperscaler pipeline remains very active: </w:t>
      </w:r>
      <w:r>
        <w:rPr>
          <w:rFonts w:ascii="Calibri" w:hAnsi="Calibri"/>
          <w:color w:val="525866"/>
          <w:sz w:val="22"/>
        </w:rPr>
        <w:t xml:space="preserve">ETR has 7–12 GW of hyperscale data center potential in its pipeline, plus 3–5 GW of traditional industrial interest. Management noted the "front end of our funnel continues to be very, very active" and the actual queue size is "much, much greater" than the 7–12 GW figure. </w:t>
      </w:r>
      <w:r>
        <w:rPr>
          <w:rFonts w:ascii="Calibri" w:hAnsi="Calibri"/>
          <w:b/>
          <w:color w:val="525866"/>
          <w:sz w:val="22"/>
        </w:rPr>
        <w:t xml:space="preserve">Read-through: </w:t>
      </w:r>
      <w:r>
        <w:rPr>
          <w:rFonts w:ascii="Calibri" w:hAnsi="Calibri"/>
          <w:color w:val="525866"/>
          <w:sz w:val="22"/>
        </w:rPr>
        <w:t>Confirms that hyperscaler demand is broad-based and not concentrated in any single region — positive for CEG’s national deal pipeline.</w:t>
      </w:r>
    </w:p>
    <w:p>
      <w:pPr>
        <w:pStyle w:val="ListBullet"/>
        <w:ind w:left="360" w:hanging="360"/>
      </w:pPr>
      <w:r>
        <w:rPr>
          <w:rFonts w:ascii="Calibri" w:hAnsi="Calibri"/>
          <w:b/>
          <w:color w:val="525866"/>
          <w:sz w:val="22"/>
        </w:rPr>
        <w:t xml:space="preserve">Louisiana Governor executive order on data centers: </w:t>
      </w:r>
      <w:r>
        <w:rPr>
          <w:rFonts w:ascii="Calibri" w:hAnsi="Calibri"/>
          <w:color w:val="525866"/>
          <w:sz w:val="22"/>
        </w:rPr>
        <w:t xml:space="preserve">Louisiana Governor Landry signed an executive order ensuring new data centers provide customer benefits, aligned with ETR’s "Fair Share Plus" pledge. Meta’s investment in Richland Parish was cited as a positive example. </w:t>
      </w:r>
      <w:r>
        <w:rPr>
          <w:rFonts w:ascii="Calibri" w:hAnsi="Calibri"/>
          <w:b/>
          <w:color w:val="525866"/>
          <w:sz w:val="22"/>
        </w:rPr>
        <w:t xml:space="preserve">Read-through: </w:t>
      </w:r>
      <w:r>
        <w:rPr>
          <w:rFonts w:ascii="Calibri" w:hAnsi="Calibri"/>
          <w:color w:val="525866"/>
          <w:sz w:val="22"/>
        </w:rPr>
        <w:t>Regulatory frameworks are evolving to support data center growth while protecting existing customers — positive for the broader co-location regulatory environment relevant to CEG.</w:t>
      </w:r>
    </w:p>
    <w:p>
      <w:pPr>
        <w:pStyle w:val="ListBullet"/>
        <w:ind w:left="360" w:hanging="360"/>
      </w:pPr>
      <w:r>
        <w:rPr>
          <w:rFonts w:ascii="Calibri" w:hAnsi="Calibri"/>
          <w:b/>
          <w:color w:val="525866"/>
          <w:sz w:val="22"/>
        </w:rPr>
        <w:t xml:space="preserve">Industrial demand growth: </w:t>
      </w:r>
      <w:r>
        <w:rPr>
          <w:rFonts w:ascii="Calibri" w:hAnsi="Calibri"/>
          <w:color w:val="525866"/>
          <w:sz w:val="22"/>
        </w:rPr>
        <w:t xml:space="preserve">10% industrial sales growth in Q2 as new and expansion projects ramp up. GDP and nonfarm payrolls at 20-year highs in ETR’s Gulf South corridor. </w:t>
      </w:r>
      <w:r>
        <w:rPr>
          <w:rFonts w:ascii="Calibri" w:hAnsi="Calibri"/>
          <w:b/>
          <w:color w:val="525866"/>
          <w:sz w:val="22"/>
        </w:rPr>
        <w:t xml:space="preserve">Read-through: </w:t>
      </w:r>
      <w:r>
        <w:rPr>
          <w:rFonts w:ascii="Calibri" w:hAnsi="Calibri"/>
          <w:color w:val="525866"/>
          <w:sz w:val="22"/>
        </w:rPr>
        <w:t>Confirms broad-based power demand growth beyond just data centers — supportive of the structural power demand thesis underpinning CEG’s long-term earnings framework.</w:t>
      </w:r>
    </w:p>
    <w:p>
      <w:pPr>
        <w:pStyle w:val="Heading3"/>
      </w:pPr>
      <w:r>
        <w:rPr>
          <w:rFonts w:ascii="Calibri" w:hAnsi="Calibri"/>
          <w:b/>
          <w:color w:val="3B4259"/>
          <w:sz w:val="24"/>
        </w:rPr>
        <w:t>Peer Read-Through Summary</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Direction</w:t>
            </w:r>
          </w:p>
        </w:tc>
        <w:tc>
          <w:tcPr>
            <w:tcW w:type="dxa" w:w="2160"/>
            <w:shd w:val="clear" w:color="auto" w:fill="3B4259"/>
          </w:tcPr>
          <w:p>
            <w:r>
              <w:rPr>
                <w:rFonts w:ascii="Calibri" w:hAnsi="Calibri"/>
                <w:b/>
                <w:color w:val="FFFFFF"/>
                <w:sz w:val="22"/>
              </w:rPr>
              <w:t>Key Data Point</w:t>
            </w:r>
          </w:p>
        </w:tc>
        <w:tc>
          <w:tcPr>
            <w:tcW w:type="dxa" w:w="2160"/>
            <w:shd w:val="clear" w:color="auto" w:fill="3B4259"/>
          </w:tcPr>
          <w:p>
            <w:r>
              <w:rPr>
                <w:rFonts w:ascii="Calibri" w:hAnsi="Calibri"/>
                <w:b/>
                <w:color w:val="FFFFFF"/>
                <w:sz w:val="22"/>
              </w:rPr>
              <w:t>Source</w:t>
            </w:r>
          </w:p>
        </w:tc>
      </w:tr>
      <w:tr>
        <w:tc>
          <w:tcPr>
            <w:tcW w:type="dxa" w:w="2160"/>
          </w:tcPr>
          <w:p>
            <w:r>
              <w:rPr>
                <w:rFonts w:ascii="Calibri" w:hAnsi="Calibri"/>
                <w:sz w:val="22"/>
              </w:rPr>
              <w:t>PJM capacity market scarcity</w:t>
            </w:r>
          </w:p>
        </w:tc>
        <w:tc>
          <w:tcPr>
            <w:tcW w:type="dxa" w:w="2160"/>
          </w:tcPr>
          <w:p>
            <w:r>
              <w:rPr>
                <w:rFonts w:ascii="Calibri" w:hAnsi="Calibri"/>
                <w:b/>
                <w:color w:val="30A46C"/>
                <w:sz w:val="22"/>
              </w:rPr>
              <w:t>Positive</w:t>
            </w:r>
          </w:p>
        </w:tc>
        <w:tc>
          <w:tcPr>
            <w:tcW w:type="dxa" w:w="2160"/>
          </w:tcPr>
          <w:p>
            <w:r>
              <w:rPr>
                <w:rFonts w:ascii="Calibri" w:hAnsi="Calibri"/>
                <w:sz w:val="22"/>
              </w:rPr>
              <w:t>3rd consecutive auction at FERC price cap; 6.8 GW shortfall; uncapped price ~$555/MW-day</w:t>
            </w:r>
          </w:p>
        </w:tc>
        <w:tc>
          <w:tcPr>
            <w:tcW w:type="dxa" w:w="2160"/>
          </w:tcPr>
          <w:p>
            <w:r>
              <w:rPr>
                <w:rFonts w:ascii="Calibri" w:hAnsi="Calibri"/>
                <w:sz w:val="22"/>
              </w:rPr>
              <w:t>EXC Q2 2026</w:t>
            </w:r>
          </w:p>
        </w:tc>
      </w:tr>
      <w:tr>
        <w:tc>
          <w:tcPr>
            <w:tcW w:type="dxa" w:w="2160"/>
          </w:tcPr>
          <w:p>
            <w:r>
              <w:rPr>
                <w:rFonts w:ascii="Calibri" w:hAnsi="Calibri"/>
                <w:sz w:val="22"/>
              </w:rPr>
              <w:t>Record power demand / peak events</w:t>
            </w:r>
          </w:p>
        </w:tc>
        <w:tc>
          <w:tcPr>
            <w:tcW w:type="dxa" w:w="2160"/>
          </w:tcPr>
          <w:p>
            <w:r>
              <w:rPr>
                <w:rFonts w:ascii="Calibri" w:hAnsi="Calibri"/>
                <w:b/>
                <w:color w:val="30A46C"/>
                <w:sz w:val="22"/>
              </w:rPr>
              <w:t>Positive</w:t>
            </w:r>
          </w:p>
        </w:tc>
        <w:tc>
          <w:tcPr>
            <w:tcW w:type="dxa" w:w="2160"/>
          </w:tcPr>
          <w:p>
            <w:r>
              <w:rPr>
                <w:rFonts w:ascii="Calibri" w:hAnsi="Calibri"/>
                <w:sz w:val="22"/>
              </w:rPr>
              <w:t>PJM record 168 GW peak (July); Dom zone 9 of top-10 all-time peak days in 2026; prices surged to $800/MWh</w:t>
            </w:r>
          </w:p>
        </w:tc>
        <w:tc>
          <w:tcPr>
            <w:tcW w:type="dxa" w:w="2160"/>
          </w:tcPr>
          <w:p>
            <w:r>
              <w:rPr>
                <w:rFonts w:ascii="Calibri" w:hAnsi="Calibri"/>
                <w:sz w:val="22"/>
              </w:rPr>
              <w:t>EXC, D Q2 2026</w:t>
            </w:r>
          </w:p>
        </w:tc>
      </w:tr>
      <w:tr>
        <w:tc>
          <w:tcPr>
            <w:tcW w:type="dxa" w:w="2160"/>
          </w:tcPr>
          <w:p>
            <w:r>
              <w:rPr>
                <w:rFonts w:ascii="Calibri" w:hAnsi="Calibri"/>
                <w:sz w:val="22"/>
              </w:rPr>
              <w:t>Hyperscaler deal activity accelerating</w:t>
            </w:r>
          </w:p>
        </w:tc>
        <w:tc>
          <w:tcPr>
            <w:tcW w:type="dxa" w:w="2160"/>
          </w:tcPr>
          <w:p>
            <w:r>
              <w:rPr>
                <w:rFonts w:ascii="Calibri" w:hAnsi="Calibri"/>
                <w:b/>
                <w:color w:val="30A46C"/>
                <w:sz w:val="22"/>
              </w:rPr>
              <w:t>Positive</w:t>
            </w:r>
          </w:p>
        </w:tc>
        <w:tc>
          <w:tcPr>
            <w:tcW w:type="dxa" w:w="2160"/>
          </w:tcPr>
          <w:p>
            <w:r>
              <w:rPr>
                <w:rFonts w:ascii="Calibri" w:hAnsi="Calibri"/>
                <w:sz w:val="22"/>
              </w:rPr>
              <w:t>NRG signed 1.2 GW BYOP deal; NEE has 30 hubs in discussion; D added 5 GW of contracts since year-end; ETR pipeline "very, very active"</w:t>
            </w:r>
          </w:p>
        </w:tc>
        <w:tc>
          <w:tcPr>
            <w:tcW w:type="dxa" w:w="2160"/>
          </w:tcPr>
          <w:p>
            <w:r>
              <w:rPr>
                <w:rFonts w:ascii="Calibri" w:hAnsi="Calibri"/>
                <w:sz w:val="22"/>
              </w:rPr>
              <w:t>NRG, NEE, D, ETR Q2 2026</w:t>
            </w:r>
          </w:p>
        </w:tc>
      </w:tr>
      <w:tr>
        <w:tc>
          <w:tcPr>
            <w:tcW w:type="dxa" w:w="2160"/>
          </w:tcPr>
          <w:p>
            <w:r>
              <w:rPr>
                <w:rFonts w:ascii="Calibri" w:hAnsi="Calibri"/>
                <w:sz w:val="22"/>
              </w:rPr>
              <w:t>Premium pricing for clean/reliable power</w:t>
            </w:r>
          </w:p>
        </w:tc>
        <w:tc>
          <w:tcPr>
            <w:tcW w:type="dxa" w:w="2160"/>
          </w:tcPr>
          <w:p>
            <w:r>
              <w:rPr>
                <w:rFonts w:ascii="Calibri" w:hAnsi="Calibri"/>
                <w:b/>
                <w:color w:val="30A46C"/>
                <w:sz w:val="22"/>
              </w:rPr>
              <w:t>Positive</w:t>
            </w:r>
          </w:p>
        </w:tc>
        <w:tc>
          <w:tcPr>
            <w:tcW w:type="dxa" w:w="2160"/>
          </w:tcPr>
          <w:p>
            <w:r>
              <w:rPr>
                <w:rFonts w:ascii="Calibri" w:hAnsi="Calibri"/>
                <w:sz w:val="22"/>
              </w:rPr>
              <w:t>NEE recontracting at +$20/MWh premium; Millstone PPA saving CT customers $300M+ this year</w:t>
            </w:r>
          </w:p>
        </w:tc>
        <w:tc>
          <w:tcPr>
            <w:tcW w:type="dxa" w:w="2160"/>
          </w:tcPr>
          <w:p>
            <w:r>
              <w:rPr>
                <w:rFonts w:ascii="Calibri" w:hAnsi="Calibri"/>
                <w:sz w:val="22"/>
              </w:rPr>
              <w:t>NEE, D Q2 2026</w:t>
            </w:r>
          </w:p>
        </w:tc>
      </w:tr>
      <w:tr>
        <w:tc>
          <w:tcPr>
            <w:tcW w:type="dxa" w:w="2160"/>
          </w:tcPr>
          <w:p>
            <w:r>
              <w:rPr>
                <w:rFonts w:ascii="Calibri" w:hAnsi="Calibri"/>
                <w:sz w:val="22"/>
              </w:rPr>
              <w:t>New nuclear: high barriers, long lead times</w:t>
            </w:r>
          </w:p>
        </w:tc>
        <w:tc>
          <w:tcPr>
            <w:tcW w:type="dxa" w:w="2160"/>
          </w:tcPr>
          <w:p>
            <w:r>
              <w:rPr>
                <w:rFonts w:ascii="Calibri" w:hAnsi="Calibri"/>
                <w:b/>
                <w:color w:val="30A46C"/>
                <w:sz w:val="22"/>
              </w:rPr>
              <w:t>Positive (for existing fleet)</w:t>
            </w:r>
          </w:p>
        </w:tc>
        <w:tc>
          <w:tcPr>
            <w:tcW w:type="dxa" w:w="2160"/>
          </w:tcPr>
          <w:p>
            <w:r>
              <w:rPr>
                <w:rFonts w:ascii="Calibri" w:hAnsi="Calibri"/>
                <w:sz w:val="22"/>
              </w:rPr>
              <w:t>DUK: "additional financial protections needed before proposing new nuclear"; NEE: risk-sharing structures required</w:t>
            </w:r>
          </w:p>
        </w:tc>
        <w:tc>
          <w:tcPr>
            <w:tcW w:type="dxa" w:w="2160"/>
          </w:tcPr>
          <w:p>
            <w:r>
              <w:rPr>
                <w:rFonts w:ascii="Calibri" w:hAnsi="Calibri"/>
                <w:sz w:val="22"/>
              </w:rPr>
              <w:t>DUK, NEE Q2 2026</w:t>
            </w:r>
          </w:p>
        </w:tc>
      </w:tr>
      <w:tr>
        <w:tc>
          <w:tcPr>
            <w:tcW w:type="dxa" w:w="2160"/>
          </w:tcPr>
          <w:p>
            <w:r>
              <w:rPr>
                <w:rFonts w:ascii="Calibri" w:hAnsi="Calibri"/>
                <w:sz w:val="22"/>
              </w:rPr>
              <w:t>ERCOT power prices soft</w:t>
            </w:r>
          </w:p>
        </w:tc>
        <w:tc>
          <w:tcPr>
            <w:tcW w:type="dxa" w:w="2160"/>
          </w:tcPr>
          <w:p>
            <w:r>
              <w:rPr>
                <w:rFonts w:ascii="Calibri" w:hAnsi="Calibri"/>
                <w:b/>
                <w:color w:val="E5484D"/>
                <w:sz w:val="22"/>
              </w:rPr>
              <w:t>Negative</w:t>
            </w:r>
          </w:p>
        </w:tc>
        <w:tc>
          <w:tcPr>
            <w:tcW w:type="dxa" w:w="2160"/>
          </w:tcPr>
          <w:p>
            <w:r>
              <w:rPr>
                <w:rFonts w:ascii="Calibri" w:hAnsi="Calibri"/>
                <w:sz w:val="22"/>
              </w:rPr>
              <w:t>NRG: ERCOT Houston ATC prices $33/MWh in Q2 vs. $52 planning assumption; "market is not valuing anything right now"</w:t>
            </w:r>
          </w:p>
        </w:tc>
        <w:tc>
          <w:tcPr>
            <w:tcW w:type="dxa" w:w="2160"/>
          </w:tcPr>
          <w:p>
            <w:r>
              <w:rPr>
                <w:rFonts w:ascii="Calibri" w:hAnsi="Calibri"/>
                <w:sz w:val="22"/>
              </w:rPr>
              <w:t>NRG Q2 2026</w:t>
            </w:r>
          </w:p>
        </w:tc>
      </w:tr>
    </w:tbl>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the Q1 2026 earnings call is the PJM 2028–2029 capacity auction result — CEG cleared 18,875 MW at $325/MW, locking in a substantial capacity revenue stream that is not yet fully reflected in near-term consensus estimates. The CEO being named Board Chair on the day of Q2 earnings is a notable governance development to watch.</w:t>
      </w:r>
    </w:p>
    <w:p>
      <w:pPr>
        <w:pStyle w:val="ListBullet"/>
        <w:ind w:left="360" w:hanging="360"/>
      </w:pPr>
      <w:r>
        <w:rPr>
          <w:rFonts w:ascii="Calibri" w:hAnsi="Calibri"/>
          <w:b/>
          <w:color w:val="525866"/>
          <w:sz w:val="22"/>
        </w:rPr>
        <w:t xml:space="preserve">July 14, 2026 — PJM 2028–2029 Capacity Auction: </w:t>
      </w:r>
      <w:r>
        <w:rPr>
          <w:rFonts w:ascii="Calibri" w:hAnsi="Calibri"/>
          <w:color w:val="525866"/>
          <w:sz w:val="22"/>
        </w:rPr>
        <w:t xml:space="preserve">CEG cleared all of its PJM power plants in the 2028–2029 capacity auction at $325/MW, for a total of 18,875 MW (15,700 MW nuclear + 3,175 MW fossil/other). Auction results take effect June 1, 2028. Capacity revenues for nuclear units are included in the gross receipts calculation for the Production Tax Credit, enhancing the earnings benefit. </w:t>
      </w:r>
      <w:r>
        <w:rPr>
          <w:rFonts w:ascii="Calibri" w:hAnsi="Calibri"/>
          <w:b/>
          <w:color w:val="525866"/>
          <w:sz w:val="22"/>
        </w:rPr>
        <w:t xml:space="preserve">Implication: </w:t>
      </w:r>
      <w:r>
        <w:rPr>
          <w:rFonts w:ascii="Calibri" w:hAnsi="Calibri"/>
          <w:color w:val="525866"/>
          <w:sz w:val="22"/>
        </w:rPr>
        <w:t>Significant positive for FY2028–2029 earnings visibility; the $325/MW clearing price compares favorably to prior auction levels and is consistent with the structural capacity scarcity EXC confirmed in its Q2 call.</w:t>
      </w:r>
    </w:p>
    <w:p>
      <w:pPr>
        <w:pStyle w:val="ListBullet"/>
        <w:ind w:left="360" w:hanging="360"/>
      </w:pPr>
      <w:r>
        <w:rPr>
          <w:rFonts w:ascii="Calibri" w:hAnsi="Calibri"/>
          <w:b/>
          <w:color w:val="525866"/>
          <w:sz w:val="22"/>
        </w:rPr>
        <w:t xml:space="preserve">August 4–5, 2026 — CEO Joseph Dominguez Named Board Chair; New Director Appointed: </w:t>
      </w:r>
      <w:r>
        <w:rPr>
          <w:rFonts w:ascii="Calibri" w:hAnsi="Calibri"/>
          <w:color w:val="525866"/>
          <w:sz w:val="22"/>
        </w:rPr>
        <w:t xml:space="preserve">Robert Lawless retired as Board Chair; CEO Dominguez was elected Chair effective August 4, 2026. Charles Harrington (Corporate Governance Committee Chair) was named Lead Independent Director. Roger Crandall was elected as a new director effective August 5, 2026. </w:t>
      </w:r>
      <w:r>
        <w:rPr>
          <w:rFonts w:ascii="Calibri" w:hAnsi="Calibri"/>
          <w:b/>
          <w:color w:val="525866"/>
          <w:sz w:val="22"/>
        </w:rPr>
        <w:t xml:space="preserve">Implication: </w:t>
      </w:r>
      <w:r>
        <w:rPr>
          <w:rFonts w:ascii="Calibri" w:hAnsi="Calibri"/>
          <w:color w:val="525866"/>
          <w:sz w:val="22"/>
        </w:rPr>
        <w:t>Combining the CEO and Chair roles is a governance change that concentrates leadership; the appointment of a Lead Independent Director provides some counterbalance. Timing on the day of Q2 earnings is notable and may draw analyst questions.</w:t>
      </w:r>
    </w:p>
    <w:p>
      <w:pPr>
        <w:pStyle w:val="ListBullet"/>
        <w:ind w:left="360" w:hanging="360"/>
      </w:pPr>
      <w:r>
        <w:rPr>
          <w:rFonts w:ascii="Calibri" w:hAnsi="Calibri"/>
          <w:b/>
          <w:color w:val="525866"/>
          <w:sz w:val="22"/>
        </w:rPr>
        <w:t xml:space="preserve">Q1 2026 (ongoing) — PUCT Approved CyrusOne/Freestone Co-Location (First Regulatory Approval): </w:t>
      </w:r>
      <w:r>
        <w:rPr>
          <w:rFonts w:ascii="Calibri" w:hAnsi="Calibri"/>
          <w:color w:val="525866"/>
          <w:sz w:val="22"/>
        </w:rPr>
        <w:t xml:space="preserve">The Public Utility Commission of Texas approved the net metering application for the CyrusOne co-location at CEG’s Freestone Energy Center in Texas (subject to conditions), representing the first regulatory approval for a Powered Land co-location deal. Phase 1 agreement signed; exclusive Phase 2 agreement of equal size in place; substation construction underway; power delivery targeted Q4 2026. </w:t>
      </w:r>
      <w:r>
        <w:rPr>
          <w:rFonts w:ascii="Calibri" w:hAnsi="Calibri"/>
          <w:b/>
          <w:color w:val="525866"/>
          <w:sz w:val="22"/>
        </w:rPr>
        <w:t xml:space="preserve">Implication: </w:t>
      </w:r>
      <w:r>
        <w:rPr>
          <w:rFonts w:ascii="Calibri" w:hAnsi="Calibri"/>
          <w:color w:val="525866"/>
          <w:sz w:val="22"/>
        </w:rPr>
        <w:t>Important market signal for the broader co-location regulatory environment; validates CEG’s Powered Land strategy in ERCOT and may accelerate similar approvals in other jurisdictions.</w:t>
      </w:r>
    </w:p>
    <w:p>
      <w:pPr>
        <w:pStyle w:val="ListBullet"/>
        <w:ind w:left="360" w:hanging="360"/>
      </w:pPr>
      <w:r>
        <w:rPr>
          <w:rFonts w:ascii="Calibri" w:hAnsi="Calibri"/>
          <w:b/>
          <w:color w:val="525866"/>
          <w:sz w:val="22"/>
        </w:rPr>
        <w:t xml:space="preserve">Q1 2026 (ongoing) — AWS Calvert Cliffs Evaluation: </w:t>
      </w:r>
      <w:r>
        <w:rPr>
          <w:rFonts w:ascii="Calibri" w:hAnsi="Calibri"/>
          <w:color w:val="525866"/>
          <w:sz w:val="22"/>
        </w:rPr>
        <w:t xml:space="preserve">Amazon Web Services held a community open house in Calvert County, Maryland in late March 2026 to discuss a potential co-located data center campus adjacent to CEG’s Calvert Cliffs nuclear plant. No formal agreement has been signed. </w:t>
      </w:r>
      <w:r>
        <w:rPr>
          <w:rFonts w:ascii="Calibri" w:hAnsi="Calibri"/>
          <w:b/>
          <w:color w:val="525866"/>
          <w:sz w:val="22"/>
        </w:rPr>
        <w:t xml:space="preserve">Implication: </w:t>
      </w:r>
      <w:r>
        <w:rPr>
          <w:rFonts w:ascii="Calibri" w:hAnsi="Calibri"/>
          <w:color w:val="525866"/>
          <w:sz w:val="22"/>
        </w:rPr>
        <w:t>Represents a potential large-scale co-location deal at one of CEG’s flagship nuclear sites; any update on this on the Q2 call would be a significant positive catalyst.</w:t>
      </w:r>
    </w:p>
    <w:p>
      <w:pPr>
        <w:pStyle w:val="ListBullet"/>
        <w:ind w:left="360" w:hanging="360"/>
      </w:pPr>
      <w:r>
        <w:rPr>
          <w:rFonts w:ascii="Calibri" w:hAnsi="Calibri"/>
          <w:b/>
          <w:color w:val="525866"/>
          <w:sz w:val="22"/>
        </w:rPr>
        <w:t xml:space="preserve">Q1 2026 (ongoing) — Nvidia/Emerald AI Partnership: </w:t>
      </w:r>
      <w:r>
        <w:rPr>
          <w:rFonts w:ascii="Calibri" w:hAnsi="Calibri"/>
          <w:color w:val="525866"/>
          <w:sz w:val="22"/>
        </w:rPr>
        <w:t xml:space="preserve">CEG partnered with Nvidia and Emerald AI to pioneer flexible AI factories as grid assets, enabling data centers to modulate compute demand at peak hours. </w:t>
      </w:r>
      <w:r>
        <w:rPr>
          <w:rFonts w:ascii="Calibri" w:hAnsi="Calibri"/>
          <w:b/>
          <w:color w:val="525866"/>
          <w:sz w:val="22"/>
        </w:rPr>
        <w:t xml:space="preserve">Implication: </w:t>
      </w:r>
      <w:r>
        <w:rPr>
          <w:rFonts w:ascii="Calibri" w:hAnsi="Calibri"/>
          <w:color w:val="525866"/>
          <w:sz w:val="22"/>
        </w:rPr>
        <w:t>Innovative demand-response model that could address peak flexibility concerns raised by regulators and accelerate co-location deal approvals.</w:t>
      </w:r>
    </w:p>
    <w:p>
      <w:pPr>
        <w:pStyle w:val="ListBullet"/>
        <w:ind w:left="360" w:hanging="360"/>
      </w:pPr>
      <w:r>
        <w:rPr>
          <w:rFonts w:ascii="Calibri" w:hAnsi="Calibri"/>
          <w:b/>
          <w:color w:val="525866"/>
          <w:sz w:val="22"/>
        </w:rPr>
        <w:t xml:space="preserve">Q1 2026 (ongoing) — PJM Interconnection Queue Submission: </w:t>
      </w:r>
      <w:r>
        <w:rPr>
          <w:rFonts w:ascii="Calibri" w:hAnsi="Calibri"/>
          <w:color w:val="525866"/>
          <w:sz w:val="22"/>
        </w:rPr>
        <w:t xml:space="preserve">CEG submitted approximately 5,000 MW of new capacity resources into PJM’s interconnection queue, including nuclear uprates, new natural gas generation, and battery storage, to address large load customer needs under PJM’s proposed framework. </w:t>
      </w:r>
      <w:r>
        <w:rPr>
          <w:rFonts w:ascii="Calibri" w:hAnsi="Calibri"/>
          <w:b/>
          <w:color w:val="525866"/>
          <w:sz w:val="22"/>
        </w:rPr>
        <w:t xml:space="preserve">Implication: </w:t>
      </w:r>
      <w:r>
        <w:rPr>
          <w:rFonts w:ascii="Calibri" w:hAnsi="Calibri"/>
          <w:color w:val="525866"/>
          <w:sz w:val="22"/>
        </w:rPr>
        <w:t>Positions CEG to capture incremental capacity revenue and hyperscaler contracts as PJM’s regulatory framework for large load interconnection is finalized.</w:t>
      </w:r>
    </w:p>
    <w:p>
      <w:pPr>
        <w:pStyle w:val="ListBullet"/>
        <w:ind w:left="360" w:hanging="360"/>
      </w:pPr>
      <w:r>
        <w:rPr>
          <w:rFonts w:ascii="Calibri" w:hAnsi="Calibri"/>
          <w:b/>
          <w:color w:val="525866"/>
          <w:sz w:val="22"/>
        </w:rPr>
        <w:t xml:space="preserve">Q1 2026 (ongoing) — Crane Clean Energy Center (Three Mile Island) Restart: </w:t>
      </w:r>
      <w:r>
        <w:rPr>
          <w:rFonts w:ascii="Calibri" w:hAnsi="Calibri"/>
          <w:color w:val="525866"/>
          <w:sz w:val="22"/>
        </w:rPr>
        <w:t xml:space="preserve">PJM interconnection studies indicate potential delay into the 2030s; CEG filed a FERC request to transfer capacity injection rights from Eddystone to Crane to facilitate on-schedule 2027 restart. FERC response expected June–July 2026. </w:t>
      </w:r>
      <w:r>
        <w:rPr>
          <w:rFonts w:ascii="Calibri" w:hAnsi="Calibri"/>
          <w:b/>
          <w:color w:val="525866"/>
          <w:sz w:val="22"/>
        </w:rPr>
        <w:t xml:space="preserve">Implication: </w:t>
      </w:r>
      <w:r>
        <w:rPr>
          <w:rFonts w:ascii="Calibri" w:hAnsi="Calibri"/>
          <w:color w:val="525866"/>
          <w:sz w:val="22"/>
        </w:rPr>
        <w:t>Any update on the FERC CIR transfer decision will be closely watched; a favorable ruling would remove a key overhang on the 2027 restart timeline.</w:t>
      </w:r>
    </w:p>
    <w:p>
      <w:pPr>
        <w:pStyle w:val="ListBullet"/>
        <w:ind w:left="360" w:hanging="360"/>
      </w:pPr>
      <w:r>
        <w:rPr>
          <w:rFonts w:ascii="Calibri" w:hAnsi="Calibri"/>
          <w:b/>
          <w:color w:val="525866"/>
          <w:sz w:val="22"/>
        </w:rPr>
        <w:t xml:space="preserve">Q1 2026 (ongoing) — Calpine Integration Ahead of Schedule: </w:t>
      </w:r>
      <w:r>
        <w:rPr>
          <w:rFonts w:ascii="Calibri" w:hAnsi="Calibri"/>
          <w:color w:val="525866"/>
          <w:sz w:val="22"/>
        </w:rPr>
        <w:t xml:space="preserve">Calpine acquisition closed January 2026; integration described as ahead of schedule with strong team engagement. Calpine debt upgraded to investment grade post-close. First tranche of Calpine lockup shares expired June 30, 2026. </w:t>
      </w:r>
      <w:r>
        <w:rPr>
          <w:rFonts w:ascii="Calibri" w:hAnsi="Calibri"/>
          <w:b/>
          <w:color w:val="525866"/>
          <w:sz w:val="22"/>
        </w:rPr>
        <w:t xml:space="preserve">Implication: </w:t>
      </w:r>
      <w:r>
        <w:rPr>
          <w:rFonts w:ascii="Calibri" w:hAnsi="Calibri"/>
          <w:color w:val="525866"/>
          <w:sz w:val="22"/>
        </w:rPr>
        <w:t>Lockup expiry likely contributed to the stock’s June–July weakness; with the first tranche now cleared, technical selling pressure should diminish.</w:t>
      </w:r>
    </w:p>
    <w:p>
      <w:pPr>
        <w:pStyle w:val="ListBullet"/>
        <w:ind w:left="360" w:hanging="360"/>
      </w:pPr>
      <w:r>
        <w:rPr>
          <w:rFonts w:ascii="Calibri" w:hAnsi="Calibri"/>
          <w:b/>
          <w:color w:val="525866"/>
          <w:sz w:val="22"/>
        </w:rPr>
        <w:t xml:space="preserve">No analyst rating changes since Q1 2026 earnings: </w:t>
      </w:r>
      <w:r>
        <w:rPr>
          <w:rFonts w:ascii="Calibri" w:hAnsi="Calibri"/>
          <w:color w:val="525866"/>
          <w:sz w:val="22"/>
        </w:rPr>
        <w:t>No upgrades or downgrades were identified in the period since the Q1 2026 earnings call.</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buys or sells by insiders were identified in the period since the Q1 2026 earnings call (May 11, 2026 through August 5, 2026). The only Form 4 filing was a routine deferred compensation award to a director — nothing notable to flag.</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Charles L. Harrington</w:t>
            </w:r>
          </w:p>
        </w:tc>
        <w:tc>
          <w:tcPr>
            <w:tcW w:type="dxa" w:w="1440"/>
          </w:tcPr>
          <w:p>
            <w:r>
              <w:rPr>
                <w:rFonts w:ascii="Calibri" w:hAnsi="Calibri"/>
                <w:sz w:val="22"/>
              </w:rPr>
              <w:t>Director</w:t>
            </w:r>
          </w:p>
        </w:tc>
        <w:tc>
          <w:tcPr>
            <w:tcW w:type="dxa" w:w="1440"/>
          </w:tcPr>
          <w:p>
            <w:r>
              <w:rPr>
                <w:rFonts w:ascii="Calibri" w:hAnsi="Calibri"/>
                <w:sz w:val="22"/>
              </w:rPr>
              <w:t>Award (Code A) — Deferred Compensation</w:t>
            </w:r>
          </w:p>
        </w:tc>
        <w:tc>
          <w:tcPr>
            <w:tcW w:type="dxa" w:w="1440"/>
          </w:tcPr>
          <w:p>
            <w:r>
              <w:rPr>
                <w:rFonts w:ascii="Calibri" w:hAnsi="Calibri"/>
                <w:sz w:val="22"/>
              </w:rPr>
              <w:t>146 phantom share equivalents</w:t>
            </w:r>
          </w:p>
        </w:tc>
        <w:tc>
          <w:tcPr>
            <w:tcW w:type="dxa" w:w="1440"/>
          </w:tcPr>
          <w:p>
            <w:r>
              <w:rPr>
                <w:rFonts w:ascii="Calibri" w:hAnsi="Calibri"/>
                <w:sz w:val="22"/>
              </w:rPr>
              <w:t>June 30, 2026</w:t>
            </w:r>
          </w:p>
        </w:tc>
        <w:tc>
          <w:tcPr>
            <w:tcW w:type="dxa" w:w="1440"/>
          </w:tcPr>
          <w:p>
            <w:r>
              <w:rPr>
                <w:rFonts w:ascii="Calibri" w:hAnsi="Calibri"/>
                <w:sz w:val="22"/>
              </w:rPr>
              <w:t>Routine deferred compensation award; not an open-market transaction. Not a buy or sell signal.</w:t>
            </w:r>
          </w:p>
        </w:tc>
      </w:tr>
    </w:tbl>
    <w:p>
      <w:r>
        <w:rPr>
          <w:rFonts w:ascii="Calibri" w:hAnsi="Calibri"/>
          <w:color w:val="525866"/>
          <w:sz w:val="22"/>
        </w:rPr>
        <w:t>No open-market buys (Form 4 Code P) or open-market sells (Form 4 Code S) were identified for CEG insiders in the period from May 11, 2026 through August 5, 2026. The absence of insider selling ahead of earnings is a neutral-to-slightly-positive signal. Note that management repurchased approximately 1.2 million shares at the corporate level shortly after the March 31, 2026 call at prices management described as compelling — this corporate buyback activity (not insider Form 4 activity) was the more meaningful signal of management conviction.</w:t>
      </w:r>
    </w:p>
    <w:p>
      <w:r>
        <w:rPr>
          <w:rFonts w:ascii="Calibri" w:hAnsi="Calibri"/>
          <w:i/>
          <w:color w:val="525866"/>
          <w:sz w:val="22"/>
        </w:rPr>
        <w:t>Source: Insider Transaction Data (SEC Form 4 filings).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