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Constellation Energy (CEG)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Constellation Energy Corporation</w:t>
            </w:r>
          </w:p>
        </w:tc>
      </w:tr>
      <w:tr>
        <w:tc>
          <w:tcPr>
            <w:tcW w:type="dxa" w:w="4320"/>
          </w:tcPr>
          <w:p>
            <w:r>
              <w:rPr>
                <w:rFonts w:ascii="Calibri" w:hAnsi="Calibri"/>
                <w:b/>
                <w:sz w:val="22"/>
              </w:rPr>
              <w:t>Ticker</w:t>
            </w:r>
          </w:p>
        </w:tc>
        <w:tc>
          <w:tcPr>
            <w:tcW w:type="dxa" w:w="4320"/>
          </w:tcPr>
          <w:p>
            <w:r>
              <w:rPr>
                <w:rFonts w:ascii="Calibri" w:hAnsi="Calibri"/>
                <w:sz w:val="22"/>
              </w:rPr>
              <w:t>CEG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 Earnings Call at 10:00 AM ET</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Last Earnings</w:t>
            </w:r>
          </w:p>
        </w:tc>
        <w:tc>
          <w:tcPr>
            <w:tcW w:type="dxa" w:w="4320"/>
          </w:tcPr>
          <w:p>
            <w:r>
              <w:rPr>
                <w:rFonts w:ascii="Calibri" w:hAnsi="Calibri"/>
                <w:sz w:val="22"/>
              </w:rPr>
              <w:t>May 11,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a moderate beat, with consensus at $2.31 adjusted operating EPS sitting below the Q1 2026 print of $2.74 and well within the full-year $11–$12 guidance range; the single biggest swing factor is whether management announces a new hyperscaler deal or provides a concrete timeline for PJM regulatory clarity.</w:t>
      </w:r>
    </w:p>
    <w:p>
      <w:r>
        <w:rPr>
          <w:rFonts w:ascii="Calibri" w:hAnsi="Calibri"/>
          <w:color w:val="525866"/>
          <w:sz w:val="22"/>
        </w:rPr>
        <w:t xml:space="preserve">Heading into Q2 2026, the bar for Constellation Energy appears achievable: consensus adjusted operating EPS of $2.31 represents a modest step-down from Q1’s $2.74 beat, reflecting seasonally higher planned nuclear refueling outages and the absence of Winter Storm Fern tailwinds, but the full-year $11–$12 guidance range remains intact and management has shown a pattern of conservative framing. </w:t>
      </w:r>
      <w:r>
        <w:rPr>
          <w:rFonts w:ascii="Calibri" w:hAnsi="Calibri"/>
          <w:b/>
          <w:color w:val="525866"/>
          <w:sz w:val="22"/>
        </w:rPr>
        <w:t>Management’s tone since the May 11 Q1 call has been constructive but patient</w:t>
      </w:r>
      <w:r>
        <w:rPr>
          <w:rFonts w:ascii="Calibri" w:hAnsi="Calibri"/>
          <w:color w:val="525866"/>
          <w:sz w:val="22"/>
        </w:rPr>
        <w:t xml:space="preserve"> — the PUCT approval for the CyrusOne co-location at Freestone (first regulatory green light for a Powered Land deal) and the July 14 PJM capacity auction clearing 18,875 MW at $325/MW-day for 2028  are both incremental positives that post-date the last print. Estimate revisions have drifted modestly lower since May (from ~$2.47 to $2.31 for Q2), suggesting the street has trimmed seasonal expectations rather than signaling fundamental concern. The stock is down roughly 11% since the Q1 print and has underperformed both XLU and the S&amp;P 500 over the period, implying the market has not priced in a beat — leaving room for a positive reaction if management delivers on EPS and, more importantly, provides any incremental color on hyperscaler deal timing or PJM rule finalization. </w:t>
      </w:r>
      <w:r>
        <w:rPr>
          <w:rFonts w:ascii="Calibri" w:hAnsi="Calibri"/>
          <w:b/>
          <w:color w:val="525866"/>
          <w:sz w:val="22"/>
        </w:rPr>
        <w:t>The wildcard is a new named hyperscaler contract announcement</w:t>
      </w:r>
      <w:r>
        <w:rPr>
          <w:rFonts w:ascii="Calibri" w:hAnsi="Calibri"/>
          <w:color w:val="525866"/>
          <w:sz w:val="22"/>
        </w:rPr>
        <w:t>: management guided that regulatory clarity from FERC/PJM (expected by year-end) is the gating factor, and any signal of acceleration — or further delay — will dominate the stock reaction regardless of the EPS print.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on adjusted EPS ($2.31 vs. $2.74 last quarter), with the nuclear capacity factor the bigger swing factor — Q2 typically carries fewer planned outage days than Q1, which should support a higher capacity factor and incremental upside to the EPS print.</w:t>
      </w:r>
    </w:p>
    <w:p>
      <w:pPr>
        <w:pStyle w:val="Heading2"/>
      </w:pPr>
      <w:r>
        <w:rPr>
          <w:rFonts w:ascii="Calibri" w:hAnsi="Calibri"/>
          <w:b/>
          <w:color w:val="3B4259"/>
          <w:sz w:val="28"/>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Adjusted Operating EPS ($)</w:t>
            </w:r>
          </w:p>
        </w:tc>
        <w:tc>
          <w:tcPr>
            <w:tcW w:type="dxa" w:w="1234"/>
          </w:tcPr>
          <w:p>
            <w:r>
              <w:rPr>
                <w:rFonts w:ascii="Calibri" w:hAnsi="Calibri"/>
                <w:sz w:val="22"/>
              </w:rPr>
              <w:t>$2.74</w:t>
            </w:r>
          </w:p>
        </w:tc>
        <w:tc>
          <w:tcPr>
            <w:tcW w:type="dxa" w:w="1234"/>
          </w:tcPr>
          <w:p>
            <w:r>
              <w:rPr>
                <w:rFonts w:ascii="Calibri" w:hAnsi="Calibri"/>
                <w:sz w:val="22"/>
              </w:rPr>
              <w:t>$1.91</w:t>
            </w:r>
          </w:p>
        </w:tc>
        <w:tc>
          <w:tcPr>
            <w:tcW w:type="dxa" w:w="1234"/>
          </w:tcPr>
          <w:p>
            <w:r>
              <w:rPr>
                <w:rFonts w:ascii="Calibri" w:hAnsi="Calibri"/>
                <w:sz w:val="22"/>
              </w:rPr>
              <w:t>$2.31</w:t>
            </w:r>
          </w:p>
        </w:tc>
        <w:tc>
          <w:tcPr>
            <w:tcW w:type="dxa" w:w="1234"/>
          </w:tcPr>
          <w:p>
            <w:r>
              <w:rPr>
                <w:rFonts w:ascii="Calibri" w:hAnsi="Calibri"/>
                <w:sz w:val="22"/>
              </w:rPr>
              <w:t>+21.2% YoY</w:t>
            </w:r>
          </w:p>
        </w:tc>
        <w:tc>
          <w:tcPr>
            <w:tcW w:type="dxa" w:w="1234"/>
          </w:tcPr>
          <w:p>
            <w:r>
              <w:rPr>
                <w:rFonts w:ascii="Calibri" w:hAnsi="Calibri"/>
                <w:sz w:val="22"/>
              </w:rPr>
              <w:t>$11.00–$12.00 (midpoint $11.50)</w:t>
            </w:r>
          </w:p>
        </w:tc>
        <w:tc>
          <w:tcPr>
            <w:tcW w:type="dxa" w:w="1234"/>
          </w:tcPr>
          <w:p>
            <w:r>
              <w:rPr>
                <w:rFonts w:ascii="Calibri" w:hAnsi="Calibri"/>
                <w:sz w:val="22"/>
              </w:rPr>
              <w:t>FY consensus $11.61 vs. midpoint: +1.0%</w:t>
            </w:r>
          </w:p>
        </w:tc>
      </w:tr>
      <w:tr>
        <w:tc>
          <w:tcPr>
            <w:tcW w:type="dxa" w:w="1234"/>
          </w:tcPr>
          <w:p>
            <w:r>
              <w:rPr>
                <w:rFonts w:ascii="Calibri" w:hAnsi="Calibri"/>
                <w:sz w:val="22"/>
              </w:rPr>
              <w:t>Operating EBITDA ($B)</w:t>
            </w:r>
          </w:p>
        </w:tc>
        <w:tc>
          <w:tcPr>
            <w:tcW w:type="dxa" w:w="1234"/>
          </w:tcPr>
          <w:p>
            <w:r>
              <w:rPr>
                <w:rFonts w:ascii="Calibri" w:hAnsi="Calibri"/>
                <w:sz w:val="22"/>
              </w:rPr>
              <w:t>$2.50B</w:t>
            </w:r>
          </w:p>
        </w:tc>
        <w:tc>
          <w:tcPr>
            <w:tcW w:type="dxa" w:w="1234"/>
          </w:tcPr>
          <w:p>
            <w:r>
              <w:rPr>
                <w:rFonts w:ascii="Calibri" w:hAnsi="Calibri"/>
                <w:sz w:val="22"/>
              </w:rPr>
              <w:t>$1.36B</w:t>
            </w:r>
          </w:p>
        </w:tc>
        <w:tc>
          <w:tcPr>
            <w:tcW w:type="dxa" w:w="1234"/>
          </w:tcPr>
          <w:p>
            <w:r>
              <w:rPr>
                <w:rFonts w:ascii="Calibri" w:hAnsi="Calibri"/>
                <w:sz w:val="22"/>
              </w:rPr>
              <w:t>$1.83B</w:t>
            </w:r>
          </w:p>
        </w:tc>
        <w:tc>
          <w:tcPr>
            <w:tcW w:type="dxa" w:w="1234"/>
          </w:tcPr>
          <w:p>
            <w:r>
              <w:rPr>
                <w:rFonts w:ascii="Calibri" w:hAnsi="Calibri"/>
                <w:sz w:val="22"/>
              </w:rPr>
              <w:t>+34.6% YoY</w:t>
            </w:r>
          </w:p>
        </w:tc>
        <w:tc>
          <w:tcPr>
            <w:tcW w:type="dxa" w:w="1234"/>
          </w:tcPr>
          <w:p>
            <w:r>
              <w:rPr>
                <w:rFonts w:ascii="Calibri" w:hAnsi="Calibri"/>
                <w:sz w:val="22"/>
              </w:rPr>
              <w:t>N/A (quarterly not guided)</w:t>
            </w:r>
          </w:p>
        </w:tc>
        <w:tc>
          <w:tcPr>
            <w:tcW w:type="dxa" w:w="1234"/>
          </w:tcPr>
          <w:p>
            <w:r>
              <w:rPr>
                <w:rFonts w:ascii="Calibri" w:hAnsi="Calibri"/>
                <w:sz w:val="22"/>
              </w:rPr>
              <w:t>N/A</w:t>
            </w:r>
          </w:p>
        </w:tc>
      </w:tr>
      <w:tr>
        <w:tc>
          <w:tcPr>
            <w:tcW w:type="dxa" w:w="1234"/>
          </w:tcPr>
          <w:p>
            <w:r>
              <w:rPr>
                <w:rFonts w:ascii="Calibri" w:hAnsi="Calibri"/>
                <w:sz w:val="22"/>
              </w:rPr>
              <w:t>Nuclear Capacity Factor (%)</w:t>
            </w:r>
          </w:p>
        </w:tc>
        <w:tc>
          <w:tcPr>
            <w:tcW w:type="dxa" w:w="1234"/>
          </w:tcPr>
          <w:p>
            <w:r>
              <w:rPr>
                <w:rFonts w:ascii="Calibri" w:hAnsi="Calibri"/>
                <w:sz w:val="22"/>
              </w:rPr>
              <w:t>92.3% (99 planned outage days)</w:t>
            </w:r>
          </w:p>
        </w:tc>
        <w:tc>
          <w:tcPr>
            <w:tcW w:type="dxa" w:w="1234"/>
          </w:tcPr>
          <w:p>
            <w:r>
              <w:rPr>
                <w:rFonts w:ascii="Calibri" w:hAnsi="Calibri"/>
                <w:sz w:val="22"/>
              </w:rPr>
              <w:t>92.9%</w:t>
            </w:r>
          </w:p>
        </w:tc>
        <w:tc>
          <w:tcPr>
            <w:tcW w:type="dxa" w:w="1234"/>
          </w:tcPr>
          <w:p>
            <w:r>
              <w:rPr>
                <w:rFonts w:ascii="Calibri" w:hAnsi="Calibri"/>
                <w:sz w:val="22"/>
              </w:rPr>
              <w:t>~92.8% (consensus)</w:t>
            </w:r>
          </w:p>
        </w:tc>
        <w:tc>
          <w:tcPr>
            <w:tcW w:type="dxa" w:w="1234"/>
          </w:tcPr>
          <w:p>
            <w:r>
              <w:rPr>
                <w:rFonts w:ascii="Calibri" w:hAnsi="Calibri"/>
                <w:sz w:val="22"/>
              </w:rPr>
              <w:t>-0.1 ppt YoY</w:t>
            </w:r>
          </w:p>
        </w:tc>
        <w:tc>
          <w:tcPr>
            <w:tcW w:type="dxa" w:w="1234"/>
          </w:tcPr>
          <w:p>
            <w:r>
              <w:rPr>
                <w:rFonts w:ascii="Calibri" w:hAnsi="Calibri"/>
                <w:sz w:val="22"/>
              </w:rPr>
              <w:t>N/A (operational metric)</w:t>
            </w:r>
          </w:p>
        </w:tc>
        <w:tc>
          <w:tcPr>
            <w:tcW w:type="dxa" w:w="1234"/>
          </w:tcPr>
          <w:p>
            <w:r>
              <w:rPr>
                <w:rFonts w:ascii="Calibri" w:hAnsi="Calibri"/>
                <w:sz w:val="22"/>
              </w:rPr>
              <w:t>N/A</w:t>
            </w:r>
          </w:p>
        </w:tc>
      </w:tr>
      <w:tr>
        <w:tc>
          <w:tcPr>
            <w:tcW w:type="dxa" w:w="1234"/>
          </w:tcPr>
          <w:p>
            <w:r>
              <w:rPr>
                <w:rFonts w:ascii="Calibri" w:hAnsi="Calibri"/>
                <w:sz w:val="22"/>
              </w:rPr>
              <w:t>Total Operating Revenue ($B)</w:t>
            </w:r>
          </w:p>
        </w:tc>
        <w:tc>
          <w:tcPr>
            <w:tcW w:type="dxa" w:w="1234"/>
          </w:tcPr>
          <w:p>
            <w:r>
              <w:rPr>
                <w:rFonts w:ascii="Calibri" w:hAnsi="Calibri"/>
                <w:sz w:val="22"/>
              </w:rPr>
              <w:t>$10.01B</w:t>
            </w:r>
          </w:p>
        </w:tc>
        <w:tc>
          <w:tcPr>
            <w:tcW w:type="dxa" w:w="1234"/>
          </w:tcPr>
          <w:p>
            <w:r>
              <w:rPr>
                <w:rFonts w:ascii="Calibri" w:hAnsi="Calibri"/>
                <w:sz w:val="22"/>
              </w:rPr>
              <w:t>$6.01B</w:t>
            </w:r>
          </w:p>
        </w:tc>
        <w:tc>
          <w:tcPr>
            <w:tcW w:type="dxa" w:w="1234"/>
          </w:tcPr>
          <w:p>
            <w:r>
              <w:rPr>
                <w:rFonts w:ascii="Calibri" w:hAnsi="Calibri"/>
                <w:sz w:val="22"/>
              </w:rPr>
              <w:t>$8.25B</w:t>
            </w:r>
          </w:p>
        </w:tc>
        <w:tc>
          <w:tcPr>
            <w:tcW w:type="dxa" w:w="1234"/>
          </w:tcPr>
          <w:p>
            <w:r>
              <w:rPr>
                <w:rFonts w:ascii="Calibri" w:hAnsi="Calibri"/>
                <w:sz w:val="22"/>
              </w:rPr>
              <w:t>+37.2% YoY</w:t>
            </w:r>
          </w:p>
        </w:tc>
        <w:tc>
          <w:tcPr>
            <w:tcW w:type="dxa" w:w="1234"/>
          </w:tcPr>
          <w:p>
            <w:r>
              <w:rPr>
                <w:rFonts w:ascii="Calibri" w:hAnsi="Calibri"/>
                <w:sz w:val="22"/>
              </w:rPr>
              <w:t>N/A (quarterly not guided)</w:t>
            </w:r>
          </w:p>
        </w:tc>
        <w:tc>
          <w:tcPr>
            <w:tcW w:type="dxa" w:w="1234"/>
          </w:tcPr>
          <w:p>
            <w:r>
              <w:rPr>
                <w:rFonts w:ascii="Calibri" w:hAnsi="Calibri"/>
                <w:sz w:val="22"/>
              </w:rPr>
              <w:t>N/A</w:t>
            </w:r>
          </w:p>
        </w:tc>
      </w:tr>
      <w:tr>
        <w:tc>
          <w:tcPr>
            <w:tcW w:type="dxa" w:w="1234"/>
          </w:tcPr>
          <w:p>
            <w:r>
              <w:rPr>
                <w:rFonts w:ascii="Calibri" w:hAnsi="Calibri"/>
                <w:sz w:val="22"/>
              </w:rPr>
              <w:t>Free Cash Flow — Analyst Published ($B)</w:t>
            </w:r>
          </w:p>
        </w:tc>
        <w:tc>
          <w:tcPr>
            <w:tcW w:type="dxa" w:w="1234"/>
          </w:tcPr>
          <w:p>
            <w:r>
              <w:rPr>
                <w:rFonts w:ascii="Calibri" w:hAnsi="Calibri"/>
                <w:sz w:val="22"/>
              </w:rPr>
              <w:t>-$0.38B</w:t>
            </w:r>
          </w:p>
        </w:tc>
        <w:tc>
          <w:tcPr>
            <w:tcW w:type="dxa" w:w="1234"/>
          </w:tcPr>
          <w:p>
            <w:r>
              <w:rPr>
                <w:rFonts w:ascii="Calibri" w:hAnsi="Calibri"/>
                <w:sz w:val="22"/>
              </w:rPr>
              <w:t>$0.77B</w:t>
            </w:r>
          </w:p>
        </w:tc>
        <w:tc>
          <w:tcPr>
            <w:tcW w:type="dxa" w:w="1234"/>
          </w:tcPr>
          <w:p>
            <w:r>
              <w:rPr>
                <w:rFonts w:ascii="Calibri" w:hAnsi="Calibri"/>
                <w:sz w:val="22"/>
              </w:rPr>
              <w:t>$0.79B</w:t>
            </w:r>
          </w:p>
        </w:tc>
        <w:tc>
          <w:tcPr>
            <w:tcW w:type="dxa" w:w="1234"/>
          </w:tcPr>
          <w:p>
            <w:r>
              <w:rPr>
                <w:rFonts w:ascii="Calibri" w:hAnsi="Calibri"/>
                <w:sz w:val="22"/>
              </w:rPr>
              <w:t>+2.6% YoY</w:t>
            </w:r>
          </w:p>
        </w:tc>
        <w:tc>
          <w:tcPr>
            <w:tcW w:type="dxa" w:w="1234"/>
          </w:tcPr>
          <w:p>
            <w:r>
              <w:rPr>
                <w:rFonts w:ascii="Calibri" w:hAnsi="Calibri"/>
                <w:sz w:val="22"/>
              </w:rPr>
              <w:t>$8.4B (2026–2027 cumulative)</w:t>
            </w:r>
          </w:p>
        </w:tc>
        <w:tc>
          <w:tcPr>
            <w:tcW w:type="dxa" w:w="1234"/>
          </w:tcPr>
          <w:p>
            <w:r>
              <w:rPr>
                <w:rFonts w:ascii="Calibri" w:hAnsi="Calibri"/>
                <w:sz w:val="22"/>
              </w:rPr>
              <w:t>N/A (cumulative metric)</w:t>
            </w:r>
          </w:p>
        </w:tc>
      </w:tr>
    </w:tbl>
    <w:p>
      <w:r>
        <w:rPr>
          <w:rFonts w:ascii="Calibri" w:hAnsi="Calibri"/>
          <w:i/>
          <w:color w:val="525866"/>
          <w:sz w:val="22"/>
        </w:rPr>
        <w:t>Source: Visible Alpha Consensus and Actuals Data. Q2 2026 consensus as of August 5, 2026. FY 2026 guidance affirmed on Q1 2026 earnings call (May 11, 2026). Q1 2026 actuals from CEG Q1 2026 earnings release (May 11, 2026). Revenue and EBITDA figures reflect post-Calpine acquisition consolidated reporting beginning Q1 2026.</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Adjusted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$1.68</w:t>
            </w:r>
          </w:p>
        </w:tc>
        <w:tc>
          <w:tcPr>
            <w:tcW w:type="dxa" w:w="1728"/>
          </w:tcPr>
          <w:p>
            <w:r>
              <w:rPr>
                <w:rFonts w:ascii="Calibri" w:hAnsi="Calibri"/>
                <w:sz w:val="22"/>
              </w:rPr>
              <w:t>$1.51</w:t>
            </w:r>
          </w:p>
        </w:tc>
        <w:tc>
          <w:tcPr>
            <w:tcW w:type="dxa" w:w="1728"/>
          </w:tcPr>
          <w:p>
            <w:r>
              <w:rPr>
                <w:rFonts w:ascii="Calibri" w:hAnsi="Calibri"/>
                <w:b/>
                <w:color w:val="30A46C"/>
                <w:sz w:val="22"/>
              </w:rPr>
              <w:t>+11.3%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$2.74</w:t>
            </w:r>
          </w:p>
        </w:tc>
        <w:tc>
          <w:tcPr>
            <w:tcW w:type="dxa" w:w="1728"/>
          </w:tcPr>
          <w:p>
            <w:r>
              <w:rPr>
                <w:rFonts w:ascii="Calibri" w:hAnsi="Calibri"/>
                <w:sz w:val="22"/>
              </w:rPr>
              <w:t>$2.39</w:t>
            </w:r>
          </w:p>
        </w:tc>
        <w:tc>
          <w:tcPr>
            <w:tcW w:type="dxa" w:w="1728"/>
          </w:tcPr>
          <w:p>
            <w:r>
              <w:rPr>
                <w:rFonts w:ascii="Calibri" w:hAnsi="Calibri"/>
                <w:b/>
                <w:color w:val="30A46C"/>
                <w:sz w:val="22"/>
              </w:rPr>
              <w:t>+14.6%</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$2.44</w:t>
            </w:r>
          </w:p>
        </w:tc>
        <w:tc>
          <w:tcPr>
            <w:tcW w:type="dxa" w:w="1728"/>
          </w:tcPr>
          <w:p>
            <w:r>
              <w:rPr>
                <w:rFonts w:ascii="Calibri" w:hAnsi="Calibri"/>
                <w:sz w:val="22"/>
              </w:rPr>
              <w:t>$2.14</w:t>
            </w:r>
          </w:p>
        </w:tc>
        <w:tc>
          <w:tcPr>
            <w:tcW w:type="dxa" w:w="1728"/>
          </w:tcPr>
          <w:p>
            <w:r>
              <w:rPr>
                <w:rFonts w:ascii="Calibri" w:hAnsi="Calibri"/>
                <w:b/>
                <w:color w:val="30A46C"/>
                <w:sz w:val="22"/>
              </w:rPr>
              <w:t>+14.0%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$2.14</w:t>
            </w:r>
          </w:p>
        </w:tc>
        <w:tc>
          <w:tcPr>
            <w:tcW w:type="dxa" w:w="1728"/>
          </w:tcPr>
          <w:p>
            <w:r>
              <w:rPr>
                <w:rFonts w:ascii="Calibri" w:hAnsi="Calibri"/>
                <w:sz w:val="22"/>
              </w:rPr>
              <w:t>$2.26</w:t>
            </w:r>
          </w:p>
        </w:tc>
        <w:tc>
          <w:tcPr>
            <w:tcW w:type="dxa" w:w="1728"/>
          </w:tcPr>
          <w:p>
            <w:r>
              <w:rPr>
                <w:rFonts w:ascii="Calibri" w:hAnsi="Calibri"/>
                <w:b/>
                <w:color w:val="E5484D"/>
                <w:sz w:val="22"/>
              </w:rPr>
              <w:t>-5.3%</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$1.91</w:t>
            </w:r>
          </w:p>
        </w:tc>
        <w:tc>
          <w:tcPr>
            <w:tcW w:type="dxa" w:w="1728"/>
          </w:tcPr>
          <w:p>
            <w:r>
              <w:rPr>
                <w:rFonts w:ascii="Calibri" w:hAnsi="Calibri"/>
                <w:sz w:val="22"/>
              </w:rPr>
              <w:t>$1.82</w:t>
            </w:r>
          </w:p>
        </w:tc>
        <w:tc>
          <w:tcPr>
            <w:tcW w:type="dxa" w:w="1728"/>
          </w:tcPr>
          <w:p>
            <w:r>
              <w:rPr>
                <w:rFonts w:ascii="Calibri" w:hAnsi="Calibri"/>
                <w:b/>
                <w:color w:val="30A46C"/>
                <w:sz w:val="22"/>
              </w:rPr>
              <w:t>+4.9%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$3.04</w:t>
            </w:r>
          </w:p>
        </w:tc>
        <w:tc>
          <w:tcPr>
            <w:tcW w:type="dxa" w:w="1728"/>
          </w:tcPr>
          <w:p>
            <w:r>
              <w:rPr>
                <w:rFonts w:ascii="Calibri" w:hAnsi="Calibri"/>
                <w:sz w:val="22"/>
              </w:rPr>
              <w:t>$3.13</w:t>
            </w:r>
          </w:p>
        </w:tc>
        <w:tc>
          <w:tcPr>
            <w:tcW w:type="dxa" w:w="1728"/>
          </w:tcPr>
          <w:p>
            <w:r>
              <w:rPr>
                <w:rFonts w:ascii="Calibri" w:hAnsi="Calibri"/>
                <w:b/>
                <w:color w:val="E5484D"/>
                <w:sz w:val="22"/>
              </w:rPr>
              <w:t>-2.9%</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$2.30</w:t>
            </w:r>
          </w:p>
        </w:tc>
        <w:tc>
          <w:tcPr>
            <w:tcW w:type="dxa" w:w="1728"/>
          </w:tcPr>
          <w:p>
            <w:r>
              <w:rPr>
                <w:rFonts w:ascii="Calibri" w:hAnsi="Calibri"/>
                <w:sz w:val="22"/>
              </w:rPr>
              <w:t>$2.27</w:t>
            </w:r>
          </w:p>
        </w:tc>
        <w:tc>
          <w:tcPr>
            <w:tcW w:type="dxa" w:w="1728"/>
          </w:tcPr>
          <w:p>
            <w:r>
              <w:rPr>
                <w:rFonts w:ascii="Calibri" w:hAnsi="Calibri"/>
                <w:b/>
                <w:color w:val="30A46C"/>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$2.74</w:t>
            </w:r>
          </w:p>
        </w:tc>
        <w:tc>
          <w:tcPr>
            <w:tcW w:type="dxa" w:w="1728"/>
          </w:tcPr>
          <w:p>
            <w:r>
              <w:rPr>
                <w:rFonts w:ascii="Calibri" w:hAnsi="Calibri"/>
                <w:sz w:val="22"/>
              </w:rPr>
              <w:t>$2.34</w:t>
            </w:r>
          </w:p>
        </w:tc>
        <w:tc>
          <w:tcPr>
            <w:tcW w:type="dxa" w:w="1728"/>
          </w:tcPr>
          <w:p>
            <w:r>
              <w:rPr>
                <w:rFonts w:ascii="Calibri" w:hAnsi="Calibri"/>
                <w:b/>
                <w:color w:val="30A46C"/>
                <w:sz w:val="22"/>
              </w:rPr>
              <w:t>+17.1%</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CEG has beaten adjusted operating EPS consensus in 6 of the last 8 quarters, with the two misses (Q1 2025, Q3 2025) both modest and driven by specific one-time factors (higher outage days, lower ZEC pricing). The Q1 2026 beat of +17.1% was the largest in the trailing 8-quarter window, driven by Calpine accretion and favorable stock-based compensation. Source: Visible Alpha Consensus and Actuals Data.</w:t>
      </w:r>
    </w:p>
    <w:p>
      <w:pPr>
        <w:pStyle w:val="Heading3"/>
      </w:pPr>
      <w:r>
        <w:rPr>
          <w:rFonts w:ascii="Calibri" w:hAnsi="Calibri"/>
          <w:b/>
          <w:color w:val="3B4259"/>
          <w:sz w:val="24"/>
        </w:rPr>
        <w:t>Nuclear Capacity Factor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(ppt)</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91.7%</w:t>
            </w:r>
          </w:p>
        </w:tc>
        <w:tc>
          <w:tcPr>
            <w:tcW w:type="dxa" w:w="1728"/>
          </w:tcPr>
          <w:p>
            <w:r>
              <w:rPr>
                <w:rFonts w:ascii="Calibri" w:hAnsi="Calibri"/>
                <w:sz w:val="22"/>
              </w:rPr>
              <w:t>91.1%</w:t>
            </w:r>
          </w:p>
        </w:tc>
        <w:tc>
          <w:tcPr>
            <w:tcW w:type="dxa" w:w="1728"/>
          </w:tcPr>
          <w:p>
            <w:r>
              <w:rPr>
                <w:rFonts w:ascii="Calibri" w:hAnsi="Calibri"/>
                <w:b/>
                <w:color w:val="30A46C"/>
                <w:sz w:val="22"/>
              </w:rPr>
              <w:t>+0.6 ppt</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95.0%</w:t>
            </w:r>
          </w:p>
        </w:tc>
        <w:tc>
          <w:tcPr>
            <w:tcW w:type="dxa" w:w="1728"/>
          </w:tcPr>
          <w:p>
            <w:r>
              <w:rPr>
                <w:rFonts w:ascii="Calibri" w:hAnsi="Calibri"/>
                <w:sz w:val="22"/>
              </w:rPr>
              <w:t>95.8%</w:t>
            </w:r>
          </w:p>
        </w:tc>
        <w:tc>
          <w:tcPr>
            <w:tcW w:type="dxa" w:w="1728"/>
          </w:tcPr>
          <w:p>
            <w:r>
              <w:rPr>
                <w:rFonts w:ascii="Calibri" w:hAnsi="Calibri"/>
                <w:b/>
                <w:color w:val="E5484D"/>
                <w:sz w:val="22"/>
              </w:rPr>
              <w:t>-0.8 ppt</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93.1%</w:t>
            </w:r>
          </w:p>
        </w:tc>
        <w:tc>
          <w:tcPr>
            <w:tcW w:type="dxa" w:w="1728"/>
          </w:tcPr>
          <w:p>
            <w:r>
              <w:rPr>
                <w:rFonts w:ascii="Calibri" w:hAnsi="Calibri"/>
                <w:sz w:val="22"/>
              </w:rPr>
              <w:t>92.9%</w:t>
            </w:r>
          </w:p>
        </w:tc>
        <w:tc>
          <w:tcPr>
            <w:tcW w:type="dxa" w:w="1728"/>
          </w:tcPr>
          <w:p>
            <w:r>
              <w:rPr>
                <w:rFonts w:ascii="Calibri" w:hAnsi="Calibri"/>
                <w:b/>
                <w:color w:val="30A46C"/>
                <w:sz w:val="22"/>
              </w:rPr>
              <w:t>+0.2 ppt</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96.5%</w:t>
            </w:r>
          </w:p>
        </w:tc>
        <w:tc>
          <w:tcPr>
            <w:tcW w:type="dxa" w:w="1728"/>
          </w:tcPr>
          <w:p>
            <w:r>
              <w:rPr>
                <w:rFonts w:ascii="Calibri" w:hAnsi="Calibri"/>
                <w:sz w:val="22"/>
              </w:rPr>
              <w:t>97.0%</w:t>
            </w:r>
          </w:p>
        </w:tc>
        <w:tc>
          <w:tcPr>
            <w:tcW w:type="dxa" w:w="1728"/>
          </w:tcPr>
          <w:p>
            <w:r>
              <w:rPr>
                <w:rFonts w:ascii="Calibri" w:hAnsi="Calibri"/>
                <w:b/>
                <w:color w:val="E5484D"/>
                <w:sz w:val="22"/>
              </w:rPr>
              <w:t>-0.5 ppt</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92.9%</w:t>
            </w:r>
          </w:p>
        </w:tc>
        <w:tc>
          <w:tcPr>
            <w:tcW w:type="dxa" w:w="1728"/>
          </w:tcPr>
          <w:p>
            <w:r>
              <w:rPr>
                <w:rFonts w:ascii="Calibri" w:hAnsi="Calibri"/>
                <w:sz w:val="22"/>
              </w:rPr>
              <w:t>94.7%</w:t>
            </w:r>
          </w:p>
        </w:tc>
        <w:tc>
          <w:tcPr>
            <w:tcW w:type="dxa" w:w="1728"/>
          </w:tcPr>
          <w:p>
            <w:r>
              <w:rPr>
                <w:rFonts w:ascii="Calibri" w:hAnsi="Calibri"/>
                <w:b/>
                <w:color w:val="E5484D"/>
                <w:sz w:val="22"/>
              </w:rPr>
              <w:t>-1.8 ppt</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95.5%</w:t>
            </w:r>
          </w:p>
        </w:tc>
        <w:tc>
          <w:tcPr>
            <w:tcW w:type="dxa" w:w="1728"/>
          </w:tcPr>
          <w:p>
            <w:r>
              <w:rPr>
                <w:rFonts w:ascii="Calibri" w:hAnsi="Calibri"/>
                <w:sz w:val="22"/>
              </w:rPr>
              <w:t>95.6%</w:t>
            </w:r>
          </w:p>
        </w:tc>
        <w:tc>
          <w:tcPr>
            <w:tcW w:type="dxa" w:w="1728"/>
          </w:tcPr>
          <w:p>
            <w:r>
              <w:rPr>
                <w:rFonts w:ascii="Calibri" w:hAnsi="Calibri"/>
                <w:b/>
                <w:color w:val="E5484D"/>
                <w:sz w:val="22"/>
              </w:rPr>
              <w:t>-0.1 ppt</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93.6%</w:t>
            </w:r>
          </w:p>
        </w:tc>
        <w:tc>
          <w:tcPr>
            <w:tcW w:type="dxa" w:w="1728"/>
          </w:tcPr>
          <w:p>
            <w:r>
              <w:rPr>
                <w:rFonts w:ascii="Calibri" w:hAnsi="Calibri"/>
                <w:sz w:val="22"/>
              </w:rPr>
              <w:t>93.8%</w:t>
            </w:r>
          </w:p>
        </w:tc>
        <w:tc>
          <w:tcPr>
            <w:tcW w:type="dxa" w:w="1728"/>
          </w:tcPr>
          <w:p>
            <w:r>
              <w:rPr>
                <w:rFonts w:ascii="Calibri" w:hAnsi="Calibri"/>
                <w:b/>
                <w:color w:val="E5484D"/>
                <w:sz w:val="22"/>
              </w:rPr>
              <w:t>-0.2 ppt</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95.0%</w:t>
            </w:r>
          </w:p>
        </w:tc>
        <w:tc>
          <w:tcPr>
            <w:tcW w:type="dxa" w:w="1728"/>
          </w:tcPr>
          <w:p>
            <w:r>
              <w:rPr>
                <w:rFonts w:ascii="Calibri" w:hAnsi="Calibri"/>
                <w:sz w:val="22"/>
              </w:rPr>
              <w:t>98.2%</w:t>
            </w:r>
          </w:p>
        </w:tc>
        <w:tc>
          <w:tcPr>
            <w:tcW w:type="dxa" w:w="1728"/>
          </w:tcPr>
          <w:p>
            <w:r>
              <w:rPr>
                <w:rFonts w:ascii="Calibri" w:hAnsi="Calibri"/>
                <w:b/>
                <w:color w:val="E5484D"/>
                <w:sz w:val="22"/>
              </w:rPr>
              <w:t>-3.2 ppt</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Nuclear capacity factor has missed consensus in 6 of the last 8 quarters, reflecting the street’s tendency to model optimistically on this metric. The Q1 2026 miss of -3.2 ppt was the largest in the window, driven by 99 planned refueling outage days (vs. 88 in Q1 2025). Q2 typically carries fewer planned outages, which should support a higher realized capacity factor relative to consensus.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Full-year 2026 adjusted operating EPS guidance of $11–$12 was affirmed on the Q1 2026 call and has not been revised since; the only material post-earnings development is the July 14 PJM capacity auction result (18,875 MW cleared at $325/MW-day for 2028–2029), which is incrementally positive for outer-year earnings but does not change 2026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 May 11,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Operating EPS</w:t>
            </w:r>
          </w:p>
        </w:tc>
        <w:tc>
          <w:tcPr>
            <w:tcW w:type="dxa" w:w="1728"/>
          </w:tcPr>
          <w:p>
            <w:r>
              <w:rPr>
                <w:rFonts w:ascii="Calibri" w:hAnsi="Calibri"/>
                <w:sz w:val="22"/>
              </w:rPr>
              <w:t>$11.00–$12.00 per share (midpoint $11.50)</w:t>
            </w:r>
          </w:p>
        </w:tc>
        <w:tc>
          <w:tcPr>
            <w:tcW w:type="dxa" w:w="1728"/>
          </w:tcPr>
          <w:p>
            <w:r>
              <w:rPr>
                <w:rFonts w:ascii="Calibri" w:hAnsi="Calibri"/>
                <w:sz w:val="22"/>
              </w:rPr>
              <w:t>Unchanged</w:t>
            </w:r>
          </w:p>
        </w:tc>
        <w:tc>
          <w:tcPr>
            <w:tcW w:type="dxa" w:w="1728"/>
          </w:tcPr>
          <w:p>
            <w:r>
              <w:rPr>
                <w:rFonts w:ascii="Calibri" w:hAnsi="Calibri"/>
                <w:sz w:val="22"/>
              </w:rPr>
              <w:t>$11.61</w:t>
            </w:r>
          </w:p>
        </w:tc>
        <w:tc>
          <w:tcPr>
            <w:tcW w:type="dxa" w:w="1728"/>
          </w:tcPr>
          <w:p>
            <w:r>
              <w:rPr>
                <w:rFonts w:ascii="Calibri" w:hAnsi="Calibri"/>
                <w:sz w:val="22"/>
              </w:rPr>
              <w:t>Affirmed on Q1 2026 call; management noted “at least another quarter of data needed” before expressing confidence in upper half of range</w:t>
            </w:r>
          </w:p>
        </w:tc>
      </w:tr>
      <w:tr>
        <w:tc>
          <w:tcPr>
            <w:tcW w:type="dxa" w:w="1728"/>
          </w:tcPr>
          <w:p>
            <w:r>
              <w:rPr>
                <w:rFonts w:ascii="Calibri" w:hAnsi="Calibri"/>
                <w:sz w:val="22"/>
              </w:rPr>
              <w:t>Base EPS CAGR (2026–2029)</w:t>
            </w:r>
          </w:p>
        </w:tc>
        <w:tc>
          <w:tcPr>
            <w:tcW w:type="dxa" w:w="1728"/>
          </w:tcPr>
          <w:p>
            <w:r>
              <w:rPr>
                <w:rFonts w:ascii="Calibri" w:hAnsi="Calibri"/>
                <w:sz w:val="22"/>
              </w:rPr>
              <w:t>20%+ compound annual growth rate</w:t>
            </w:r>
          </w:p>
        </w:tc>
        <w:tc>
          <w:tcPr>
            <w:tcW w:type="dxa" w:w="1728"/>
          </w:tcPr>
          <w:p>
            <w:r>
              <w:rPr>
                <w:rFonts w:ascii="Calibri" w:hAnsi="Calibri"/>
                <w:sz w:val="22"/>
              </w:rPr>
              <w:t>Unchanged</w:t>
            </w:r>
          </w:p>
        </w:tc>
        <w:tc>
          <w:tcPr>
            <w:tcW w:type="dxa" w:w="1728"/>
          </w:tcPr>
          <w:p>
            <w:r>
              <w:rPr>
                <w:rFonts w:ascii="Calibri" w:hAnsi="Calibri"/>
                <w:sz w:val="22"/>
              </w:rPr>
              <w:t>N/A (multi-year target)</w:t>
            </w:r>
          </w:p>
        </w:tc>
        <w:tc>
          <w:tcPr>
            <w:tcW w:type="dxa" w:w="1728"/>
          </w:tcPr>
          <w:p>
            <w:r>
              <w:rPr>
                <w:rFonts w:ascii="Calibri" w:hAnsi="Calibri"/>
                <w:sz w:val="22"/>
              </w:rPr>
              <w:t>Long-term rolling 3-year Base EPS growth target of 10%+ also reiterated</w:t>
            </w:r>
          </w:p>
        </w:tc>
      </w:tr>
      <w:tr>
        <w:tc>
          <w:tcPr>
            <w:tcW w:type="dxa" w:w="1728"/>
          </w:tcPr>
          <w:p>
            <w:r>
              <w:rPr>
                <w:rFonts w:ascii="Calibri" w:hAnsi="Calibri"/>
                <w:sz w:val="22"/>
              </w:rPr>
              <w:t>Free Cash Flow Before Growth (2026–2027)</w:t>
            </w:r>
          </w:p>
        </w:tc>
        <w:tc>
          <w:tcPr>
            <w:tcW w:type="dxa" w:w="1728"/>
          </w:tcPr>
          <w:p>
            <w:r>
              <w:rPr>
                <w:rFonts w:ascii="Calibri" w:hAnsi="Calibri"/>
                <w:sz w:val="22"/>
              </w:rPr>
              <w:t>$8.4B cumulative</w:t>
            </w:r>
          </w:p>
        </w:tc>
        <w:tc>
          <w:tcPr>
            <w:tcW w:type="dxa" w:w="1728"/>
          </w:tcPr>
          <w:p>
            <w:r>
              <w:rPr>
                <w:rFonts w:ascii="Calibri" w:hAnsi="Calibri"/>
                <w:sz w:val="22"/>
              </w:rPr>
              <w:t>Unchanged</w:t>
            </w:r>
          </w:p>
        </w:tc>
        <w:tc>
          <w:tcPr>
            <w:tcW w:type="dxa" w:w="1728"/>
          </w:tcPr>
          <w:p>
            <w:r>
              <w:rPr>
                <w:rFonts w:ascii="Calibri" w:hAnsi="Calibri"/>
                <w:sz w:val="22"/>
              </w:rPr>
              <w:t>$1.94B (FY 2026 consensus)</w:t>
            </w:r>
          </w:p>
        </w:tc>
        <w:tc>
          <w:tcPr>
            <w:tcW w:type="dxa" w:w="1728"/>
          </w:tcPr>
          <w:p>
            <w:r>
              <w:rPr>
                <w:rFonts w:ascii="Calibri" w:hAnsi="Calibri"/>
                <w:sz w:val="22"/>
              </w:rPr>
              <w:t>2028–2029 FCFbG guided at $11.5–$13.0B cumulative; management emphasized this metric as underappreciated</w:t>
            </w:r>
          </w:p>
        </w:tc>
      </w:tr>
      <w:tr>
        <w:tc>
          <w:tcPr>
            <w:tcW w:type="dxa" w:w="1728"/>
          </w:tcPr>
          <w:p>
            <w:r>
              <w:rPr>
                <w:rFonts w:ascii="Calibri" w:hAnsi="Calibri"/>
                <w:sz w:val="22"/>
              </w:rPr>
              <w:t>PJM Capacity Revenue (2028–2029)</w:t>
            </w:r>
          </w:p>
        </w:tc>
        <w:tc>
          <w:tcPr>
            <w:tcW w:type="dxa" w:w="1728"/>
          </w:tcPr>
          <w:p>
            <w:r>
              <w:rPr>
                <w:rFonts w:ascii="Calibri" w:hAnsi="Calibri"/>
                <w:sz w:val="22"/>
              </w:rPr>
              <w:t>Not explicitly guided at Q1 call</w:t>
            </w:r>
          </w:p>
        </w:tc>
        <w:tc>
          <w:tcPr>
            <w:tcW w:type="dxa" w:w="1728"/>
          </w:tcPr>
          <w:p>
            <w:r>
              <w:rPr>
                <w:rFonts w:ascii="Calibri" w:hAnsi="Calibri"/>
                <w:sz w:val="22"/>
              </w:rPr>
              <w:t>18,875 MW cleared at $325/MW-day (July 14, 2026 8-K)</w:t>
            </w:r>
          </w:p>
        </w:tc>
        <w:tc>
          <w:tcPr>
            <w:tcW w:type="dxa" w:w="1728"/>
          </w:tcPr>
          <w:p>
            <w:r>
              <w:rPr>
                <w:rFonts w:ascii="Calibri" w:hAnsi="Calibri"/>
                <w:sz w:val="22"/>
              </w:rPr>
              <w:t>N/A (outer-year item)</w:t>
            </w:r>
          </w:p>
        </w:tc>
        <w:tc>
          <w:tcPr>
            <w:tcW w:type="dxa" w:w="1728"/>
          </w:tcPr>
          <w:p>
            <w:r>
              <w:rPr>
                <w:rFonts w:ascii="Calibri" w:hAnsi="Calibri"/>
                <w:sz w:val="22"/>
              </w:rPr>
              <w:t>↑ Positive post-earnings update via 8-K July 14, 2026; all PJM plants cleared; capacity revenues included in nuclear PTC gross receipts calculation</w:t>
            </w:r>
          </w:p>
        </w:tc>
      </w:tr>
      <w:tr>
        <w:tc>
          <w:tcPr>
            <w:tcW w:type="dxa" w:w="1728"/>
          </w:tcPr>
          <w:p>
            <w:r>
              <w:rPr>
                <w:rFonts w:ascii="Calibri" w:hAnsi="Calibri"/>
                <w:sz w:val="22"/>
              </w:rPr>
              <w:t>Share Buyback Authorization</w:t>
            </w:r>
          </w:p>
        </w:tc>
        <w:tc>
          <w:tcPr>
            <w:tcW w:type="dxa" w:w="1728"/>
          </w:tcPr>
          <w:p>
            <w:r>
              <w:rPr>
                <w:rFonts w:ascii="Calibri" w:hAnsi="Calibri"/>
                <w:sz w:val="22"/>
              </w:rPr>
              <w:t>$5.0B authorization; ~$335M deployed YTD as of Q1 call</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$4.7B remaining authorization as of May 11, 2026</w:t>
            </w:r>
          </w:p>
        </w:tc>
      </w:tr>
      <w:tr>
        <w:tc>
          <w:tcPr>
            <w:tcW w:type="dxa" w:w="1728"/>
          </w:tcPr>
          <w:p>
            <w:r>
              <w:rPr>
                <w:rFonts w:ascii="Calibri" w:hAnsi="Calibri"/>
                <w:sz w:val="22"/>
              </w:rPr>
              <w:t>Hyperscaler / Data Center Contracting</w:t>
            </w:r>
          </w:p>
        </w:tc>
        <w:tc>
          <w:tcPr>
            <w:tcW w:type="dxa" w:w="1728"/>
          </w:tcPr>
          <w:p>
            <w:r>
              <w:rPr>
                <w:rFonts w:ascii="Calibri" w:hAnsi="Calibri"/>
                <w:sz w:val="22"/>
              </w:rPr>
              <w:t>No new deal announced; awaiting PJM/FERC regulatory clarity</w:t>
            </w:r>
          </w:p>
        </w:tc>
        <w:tc>
          <w:tcPr>
            <w:tcW w:type="dxa" w:w="1728"/>
          </w:tcPr>
          <w:p>
            <w:r>
              <w:rPr>
                <w:rFonts w:ascii="Calibri" w:hAnsi="Calibri"/>
                <w:sz w:val="22"/>
              </w:rPr>
              <w:t>No change; PUCT approved CyrusOne Freestone net metering (subject to conditions)</w:t>
            </w:r>
          </w:p>
        </w:tc>
        <w:tc>
          <w:tcPr>
            <w:tcW w:type="dxa" w:w="1728"/>
          </w:tcPr>
          <w:p>
            <w:r>
              <w:rPr>
                <w:rFonts w:ascii="Calibri" w:hAnsi="Calibri"/>
                <w:sz w:val="22"/>
              </w:rPr>
              <w:t>N/A</w:t>
            </w:r>
          </w:p>
        </w:tc>
        <w:tc>
          <w:tcPr>
            <w:tcW w:type="dxa" w:w="1728"/>
          </w:tcPr>
          <w:p>
            <w:r>
              <w:rPr>
                <w:rFonts w:ascii="Calibri" w:hAnsi="Calibri"/>
                <w:sz w:val="22"/>
              </w:rPr>
              <w:t>First regulatory approval for a Powered Land co-location deal; substation construction underway; power delivery targeted Q4 2026</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Q2 2026 EPS estimates have drifted ~6.5% lower since the Q1 print (from $2.47 to $2.31), likely reflecting seasonal conservatism and the absence of a new hyperscaler deal announcement; FY 2026 estimates are essentially flat vs. the post-Q1 baseline, suggesting the street is comfortable with the $11–$12 guidance range and not pricing in meaningful upside or downside.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(May 18,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Operating EPS — Q2 2026</w:t>
            </w:r>
          </w:p>
        </w:tc>
        <w:tc>
          <w:tcPr>
            <w:tcW w:type="dxa" w:w="1080"/>
          </w:tcPr>
          <w:p>
            <w:r>
              <w:rPr>
                <w:rFonts w:ascii="Calibri" w:hAnsi="Calibri"/>
                <w:sz w:val="22"/>
              </w:rPr>
              <w:t>$2.47</w:t>
            </w:r>
          </w:p>
        </w:tc>
        <w:tc>
          <w:tcPr>
            <w:tcW w:type="dxa" w:w="1080"/>
          </w:tcPr>
          <w:p>
            <w:r>
              <w:rPr>
                <w:rFonts w:ascii="Calibri" w:hAnsi="Calibri"/>
                <w:sz w:val="22"/>
              </w:rPr>
              <w:t>$2.31</w:t>
            </w:r>
          </w:p>
        </w:tc>
        <w:tc>
          <w:tcPr>
            <w:tcW w:type="dxa" w:w="1080"/>
          </w:tcPr>
          <w:p>
            <w:r>
              <w:rPr>
                <w:rFonts w:ascii="Calibri" w:hAnsi="Calibri"/>
                <w:b/>
                <w:color w:val="E5484D"/>
                <w:sz w:val="22"/>
              </w:rPr>
              <w:t>-6.5%</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EPS — FY 2026</w:t>
            </w:r>
          </w:p>
        </w:tc>
        <w:tc>
          <w:tcPr>
            <w:tcW w:type="dxa" w:w="1080"/>
          </w:tcPr>
          <w:p>
            <w:r>
              <w:rPr>
                <w:rFonts w:ascii="Calibri" w:hAnsi="Calibri"/>
                <w:sz w:val="22"/>
              </w:rPr>
              <w:t>$11.86</w:t>
            </w:r>
          </w:p>
        </w:tc>
        <w:tc>
          <w:tcPr>
            <w:tcW w:type="dxa" w:w="1080"/>
          </w:tcPr>
          <w:p>
            <w:r>
              <w:rPr>
                <w:rFonts w:ascii="Calibri" w:hAnsi="Calibri"/>
                <w:sz w:val="22"/>
              </w:rPr>
              <w:t>$11.61</w:t>
            </w:r>
          </w:p>
        </w:tc>
        <w:tc>
          <w:tcPr>
            <w:tcW w:type="dxa" w:w="1080"/>
          </w:tcPr>
          <w:p>
            <w:r>
              <w:rPr>
                <w:rFonts w:ascii="Calibri" w:hAnsi="Calibri"/>
                <w:b/>
                <w:color w:val="E5484D"/>
                <w:sz w:val="22"/>
              </w:rPr>
              <w:t>-2.1%</w:t>
            </w:r>
          </w:p>
        </w:tc>
        <w:tc>
          <w:tcPr>
            <w:tcW w:type="dxa" w:w="1080"/>
          </w:tcPr>
          <w:p>
            <w:r>
              <w:rPr>
                <w:rFonts w:ascii="Calibri" w:hAnsi="Calibri"/>
                <w:sz w:val="22"/>
              </w:rPr>
              <w:t>$11.00–$12.00 (midpoint $11.50)</w:t>
            </w:r>
          </w:p>
        </w:tc>
        <w:tc>
          <w:tcPr>
            <w:tcW w:type="dxa" w:w="1080"/>
          </w:tcPr>
          <w:p>
            <w:r>
              <w:rPr>
                <w:rFonts w:ascii="Calibri" w:hAnsi="Calibri"/>
                <w:sz w:val="22"/>
              </w:rPr>
              <w:t>$11.00–$12.00 (unchanged)</w:t>
            </w:r>
          </w:p>
        </w:tc>
        <w:tc>
          <w:tcPr>
            <w:tcW w:type="dxa" w:w="1080"/>
          </w:tcPr>
          <w:p>
            <w:r>
              <w:rPr>
                <w:rFonts w:ascii="Calibri" w:hAnsi="Calibri"/>
                <w:sz w:val="22"/>
              </w:rPr>
              <w:t>Unchanged</w:t>
            </w:r>
          </w:p>
        </w:tc>
        <w:tc>
          <w:tcPr>
            <w:tcW w:type="dxa" w:w="1080"/>
          </w:tcPr>
          <w:p>
            <w:r>
              <w:rPr>
                <w:rFonts w:ascii="Calibri" w:hAnsi="Calibri"/>
                <w:sz w:val="22"/>
              </w:rPr>
              <w:t>+1.0% above midpoint</w:t>
            </w:r>
          </w:p>
        </w:tc>
      </w:tr>
      <w:tr>
        <w:tc>
          <w:tcPr>
            <w:tcW w:type="dxa" w:w="1080"/>
          </w:tcPr>
          <w:p>
            <w:r>
              <w:rPr>
                <w:rFonts w:ascii="Calibri" w:hAnsi="Calibri"/>
                <w:sz w:val="22"/>
              </w:rPr>
              <w:t>Adj. Operating EPS — FY 2027</w:t>
            </w:r>
          </w:p>
        </w:tc>
        <w:tc>
          <w:tcPr>
            <w:tcW w:type="dxa" w:w="1080"/>
          </w:tcPr>
          <w:p>
            <w:r>
              <w:rPr>
                <w:rFonts w:ascii="Calibri" w:hAnsi="Calibri"/>
                <w:sz w:val="22"/>
              </w:rPr>
              <w:t>$13.56</w:t>
            </w:r>
          </w:p>
        </w:tc>
        <w:tc>
          <w:tcPr>
            <w:tcW w:type="dxa" w:w="1080"/>
          </w:tcPr>
          <w:p>
            <w:r>
              <w:rPr>
                <w:rFonts w:ascii="Calibri" w:hAnsi="Calibri"/>
                <w:sz w:val="22"/>
              </w:rPr>
              <w:t>$13.26</w:t>
            </w:r>
          </w:p>
        </w:tc>
        <w:tc>
          <w:tcPr>
            <w:tcW w:type="dxa" w:w="1080"/>
          </w:tcPr>
          <w:p>
            <w:r>
              <w:rPr>
                <w:rFonts w:ascii="Calibri" w:hAnsi="Calibri"/>
                <w:b/>
                <w:color w:val="E5484D"/>
                <w:sz w:val="22"/>
              </w:rPr>
              <w:t>-2.2%</w:t>
            </w:r>
          </w:p>
        </w:tc>
        <w:tc>
          <w:tcPr>
            <w:tcW w:type="dxa" w:w="1080"/>
          </w:tcPr>
          <w:p>
            <w:r>
              <w:rPr>
                <w:rFonts w:ascii="Calibri" w:hAnsi="Calibri"/>
                <w:sz w:val="22"/>
              </w:rPr>
              <w:t>20%+ CAGR from 2026 base</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Consistent with 20%+ CAGR target</w:t>
            </w:r>
          </w:p>
        </w:tc>
      </w:tr>
      <w:tr>
        <w:tc>
          <w:tcPr>
            <w:tcW w:type="dxa" w:w="1080"/>
          </w:tcPr>
          <w:p>
            <w:r>
              <w:rPr>
                <w:rFonts w:ascii="Calibri" w:hAnsi="Calibri"/>
                <w:sz w:val="22"/>
              </w:rPr>
              <w:t>Operating EBITDA — Q2 2026</w:t>
            </w:r>
          </w:p>
        </w:tc>
        <w:tc>
          <w:tcPr>
            <w:tcW w:type="dxa" w:w="1080"/>
          </w:tcPr>
          <w:p>
            <w:r>
              <w:rPr>
                <w:rFonts w:ascii="Calibri" w:hAnsi="Calibri"/>
                <w:sz w:val="22"/>
              </w:rPr>
              <w:t>N/A (not available as of 5/18/26)</w:t>
            </w:r>
          </w:p>
        </w:tc>
        <w:tc>
          <w:tcPr>
            <w:tcW w:type="dxa" w:w="1080"/>
          </w:tcPr>
          <w:p>
            <w:r>
              <w:rPr>
                <w:rFonts w:ascii="Calibri" w:hAnsi="Calibri"/>
                <w:sz w:val="22"/>
              </w:rPr>
              <w:t>$1.83B</w:t>
            </w:r>
          </w:p>
        </w:tc>
        <w:tc>
          <w:tcPr>
            <w:tcW w:type="dxa" w:w="1080"/>
          </w:tcPr>
          <w:p>
            <w:r>
              <w:rPr>
                <w:rFonts w:ascii="Calibri" w:hAnsi="Calibri"/>
                <w:sz w:val="22"/>
              </w:rPr>
              <w:t>N/A</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EBITDA — FY 2026</w:t>
            </w:r>
          </w:p>
        </w:tc>
        <w:tc>
          <w:tcPr>
            <w:tcW w:type="dxa" w:w="1080"/>
          </w:tcPr>
          <w:p>
            <w:r>
              <w:rPr>
                <w:rFonts w:ascii="Calibri" w:hAnsi="Calibri"/>
                <w:sz w:val="22"/>
              </w:rPr>
              <w:t>$8.44B</w:t>
            </w:r>
          </w:p>
        </w:tc>
        <w:tc>
          <w:tcPr>
            <w:tcW w:type="dxa" w:w="1080"/>
          </w:tcPr>
          <w:p>
            <w:r>
              <w:rPr>
                <w:rFonts w:ascii="Calibri" w:hAnsi="Calibri"/>
                <w:sz w:val="22"/>
              </w:rPr>
              <w:t>$8.74B</w:t>
            </w:r>
          </w:p>
        </w:tc>
        <w:tc>
          <w:tcPr>
            <w:tcW w:type="dxa" w:w="1080"/>
          </w:tcPr>
          <w:p>
            <w:r>
              <w:rPr>
                <w:rFonts w:ascii="Calibri" w:hAnsi="Calibri"/>
                <w:b/>
                <w:color w:val="30A46C"/>
                <w:sz w:val="22"/>
              </w:rPr>
              <w:t>+3.6%</w:t>
            </w:r>
          </w:p>
        </w:tc>
        <w:tc>
          <w:tcPr>
            <w:tcW w:type="dxa" w:w="1080"/>
          </w:tcPr>
          <w:p>
            <w:r>
              <w:rPr>
                <w:rFonts w:ascii="Calibri" w:hAnsi="Calibri"/>
                <w:sz w:val="22"/>
              </w:rPr>
              <w:t>No explicit EBITDA guidance</w:t>
            </w:r>
          </w:p>
        </w:tc>
        <w:tc>
          <w:tcPr>
            <w:tcW w:type="dxa" w:w="1080"/>
          </w:tcPr>
          <w:p>
            <w:r>
              <w:rPr>
                <w:rFonts w:ascii="Calibri" w:hAnsi="Calibri"/>
                <w:sz w:val="22"/>
              </w:rPr>
              <w:t>No explicit EBITDA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and Actuals Data. Post-Q1 baseline uses consensus as of May 18, 2026 (approximately 5 trading days after the May 11, 2026 Q1 earnings release). Current consensus as of August 5, 2026. The modest downward drift in Q2 and FY 2026 EPS estimates reflects seasonal conservatism and the absence of new hyperscaler deal announcements, not a fundamental deterioration in the earnings outlook. FY 2026 consensus of $11.61 remains above the guidance midpoint of $11.50, suggesting the street is positioned for a slight beat on the full year.</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CEG has underperformed both XLU (-11% vs. -3% for XLU and +4% for SPY since the Q1 print), driven almost entirely by multiple compression rather than estimate cuts — the EV/EBITDA multiple has contracted ~9% since May 11 — suggesting the market is discounting the hyperscaler deal pipeline and PJM regulatory uncertainty rather than questioning the base earnings trajectory.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CEG vs. XLU vs. S&amp;P 500 (SPY) — Indexed to 100 at Q1 2026 Earnings Date (May 11, 2026). Source: Yahoo Finance / Stock Price Data.</w:t>
      </w:r>
    </w:p>
    <w:p>
      <w:r>
        <w:rPr>
          <w:rFonts w:ascii="Calibri" w:hAnsi="Calibri"/>
          <w:b/>
          <w:color w:val="525866"/>
          <w:sz w:val="22"/>
        </w:rPr>
        <w:t xml:space="preserve">Sector ETF: </w:t>
      </w:r>
      <w:r>
        <w:rPr>
          <w:rFonts w:ascii="Calibri" w:hAnsi="Calibri"/>
          <w:color w:val="525866"/>
          <w:sz w:val="22"/>
        </w:rPr>
        <w:t>XLU (Utilities Select Sector SPDR Fund) was used as the sector benchmark. CEG is classified in the Utilities sector but trades with a significant premium to traditional regulated utilities given its merchant nuclear and competitive power generation exposure. XLU is the most widely used sector benchmark for CEG despite the company’s differentiated business model.</w:t>
      </w:r>
    </w:p>
    <w:p>
      <w:r>
        <w:rPr>
          <w:rFonts w:ascii="Calibri" w:hAnsi="Calibri"/>
          <w:b/>
          <w:color w:val="525866"/>
          <w:sz w:val="22"/>
        </w:rPr>
        <w:t>Performance Summary (May 11 – August 5, 2026):</w:t>
      </w:r>
    </w:p>
    <w:p>
      <w:pPr>
        <w:pStyle w:val="ListBullet"/>
        <w:ind w:left="360" w:hanging="360"/>
      </w:pPr>
      <w:r>
        <w:rPr>
          <w:rFonts w:ascii="Calibri" w:hAnsi="Calibri"/>
          <w:b/>
          <w:color w:val="525866"/>
          <w:sz w:val="22"/>
        </w:rPr>
        <w:t xml:space="preserve">CEG: </w:t>
      </w:r>
      <w:r>
        <w:rPr>
          <w:rFonts w:ascii="Calibri" w:hAnsi="Calibri"/>
          <w:color w:val="525866"/>
          <w:sz w:val="22"/>
        </w:rPr>
        <w:t>$299.69 → $265.16, approximately -11.5% since Q1 earnings date</w:t>
      </w:r>
    </w:p>
    <w:p>
      <w:pPr>
        <w:pStyle w:val="ListBullet"/>
        <w:ind w:left="360" w:hanging="360"/>
      </w:pPr>
      <w:r>
        <w:rPr>
          <w:rFonts w:ascii="Calibri" w:hAnsi="Calibri"/>
          <w:b/>
          <w:color w:val="525866"/>
          <w:sz w:val="22"/>
        </w:rPr>
        <w:t xml:space="preserve">XLU: </w:t>
      </w:r>
      <w:r>
        <w:rPr>
          <w:rFonts w:ascii="Calibri" w:hAnsi="Calibri"/>
          <w:color w:val="525866"/>
          <w:sz w:val="22"/>
        </w:rPr>
        <w:t>$45.14 → $43.66, approximately -3.3% over the same period</w:t>
      </w:r>
    </w:p>
    <w:p>
      <w:pPr>
        <w:pStyle w:val="ListBullet"/>
        <w:ind w:left="360" w:hanging="360"/>
      </w:pPr>
      <w:r>
        <w:rPr>
          <w:rFonts w:ascii="Calibri" w:hAnsi="Calibri"/>
          <w:b/>
          <w:color w:val="525866"/>
          <w:sz w:val="22"/>
        </w:rPr>
        <w:t xml:space="preserve">SPY (S&amp;P 500): </w:t>
      </w:r>
      <w:r>
        <w:rPr>
          <w:rFonts w:ascii="Calibri" w:hAnsi="Calibri"/>
          <w:color w:val="525866"/>
          <w:sz w:val="22"/>
        </w:rPr>
        <w:t>$739.30 → $769.79, approximately +4.1% over the same period</w:t>
      </w:r>
    </w:p>
    <w:p>
      <w:pPr>
        <w:pStyle w:val="ListBullet"/>
        <w:ind w:left="360" w:hanging="360"/>
      </w:pPr>
      <w:r>
        <w:rPr>
          <w:rFonts w:ascii="Calibri" w:hAnsi="Calibri"/>
          <w:b/>
          <w:color w:val="525866"/>
          <w:sz w:val="22"/>
        </w:rPr>
        <w:t xml:space="preserve">Key events: </w:t>
      </w:r>
      <w:r>
        <w:rPr>
          <w:rFonts w:ascii="Calibri" w:hAnsi="Calibri"/>
          <w:color w:val="525866"/>
          <w:sz w:val="22"/>
        </w:rPr>
        <w:t>Stock initially sold off sharply in the two weeks following the Q1 print (reaching a low of ~$242 on June 10), recovered partially through late June, then drifted lower again through July before a modest bounce in early August. The July 14 PJM capacity auction result (18,875 MW cleared at $325/MW-day) provided a brief positive catalyst but did not sustain a rally.</w:t>
      </w:r>
    </w:p>
    <w:p>
      <w:r>
        <w:rPr>
          <w:rFonts w:ascii="Calibri" w:hAnsi="Calibri"/>
          <w:b/>
          <w:color w:val="525866"/>
          <w:sz w:val="22"/>
        </w:rPr>
        <w:t xml:space="preserve">Valuation Context: </w:t>
      </w:r>
      <w:r>
        <w:rPr>
          <w:rFonts w:ascii="Calibri" w:hAnsi="Calibri"/>
          <w:color w:val="525866"/>
          <w:sz w:val="22"/>
        </w:rPr>
        <w:t>CEG’s NTM EV/EBITDA has compressed from ~14.0x (3 months ago) to ~13.0x currently, a -7.3% contraction. NTM P/E has compressed from ~26.6x to ~21.2x (-20%). The multiple de-rating has been the primary driver of underperformance, not estimate cuts — a pattern consistent with the market pricing out the hyperscaler deal premium rather than questioning the base nuclear earnings power. Source: Stock Price Data (Yahoo Finance); Valuation multiples from Visible Alpha / Implied platform.</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July 14 PJM capacity auction result — all 18,875 MW of CEG’s PJM fleet cleared at $325/MW-day for 2028–2029, providing significant outer-year earnings visibility and confirming the structural tightness of the PJM capacity market.</w:t>
      </w:r>
    </w:p>
    <w:p>
      <w:pPr>
        <w:pStyle w:val="ListBullet"/>
        <w:ind w:left="360" w:hanging="360"/>
      </w:pPr>
      <w:r>
        <w:rPr>
          <w:rFonts w:ascii="Calibri" w:hAnsi="Calibri"/>
          <w:b/>
          <w:color w:val="525866"/>
          <w:sz w:val="22"/>
        </w:rPr>
        <w:t xml:space="preserve">July 14, 2026 — PJM Capacity Auction (2028–2029): </w:t>
      </w:r>
      <w:r>
        <w:rPr>
          <w:rFonts w:ascii="Calibri" w:hAnsi="Calibri"/>
          <w:color w:val="525866"/>
          <w:sz w:val="22"/>
        </w:rPr>
        <w:t>All 18,875 MW of CEG’s PJM portfolio cleared at $325/MW-day, including 15,700 MW of nuclear capacity across COMED, EMAAC, and MAAC zones. Capacity revenues for nuclear units are included in the gross receipts calculation for the nuclear Production Tax Credit (PTC), making this a double benefit. This is the third consecutive PJM base residual auction to clear at or near the price cap, confirming structural tightness. Source: CEG 8-K filed July 14, 2026.</w:t>
      </w:r>
    </w:p>
    <w:p>
      <w:pPr>
        <w:pStyle w:val="ListBullet"/>
        <w:ind w:left="360" w:hanging="360"/>
      </w:pPr>
      <w:r>
        <w:rPr>
          <w:rFonts w:ascii="Calibri" w:hAnsi="Calibri"/>
          <w:b/>
          <w:color w:val="525866"/>
          <w:sz w:val="22"/>
        </w:rPr>
        <w:t xml:space="preserve">August 5, 2026 — CEO Named Board Chair; Lead Independent Director Appointed: </w:t>
      </w:r>
      <w:r>
        <w:rPr>
          <w:rFonts w:ascii="Calibri" w:hAnsi="Calibri"/>
          <w:color w:val="525866"/>
          <w:sz w:val="22"/>
        </w:rPr>
        <w:t>Constellation Energy announced that CEO Joe Dominguez has been named Board Chair, and a Lead Independent Director has been appointed. This governance change, disclosed via 8-K on the day before earnings, is notable for its timing but does not appear to signal any strategic shift. Source: CEG 8-K filed August 5, 2026.</w:t>
      </w:r>
    </w:p>
    <w:p>
      <w:pPr>
        <w:pStyle w:val="ListBullet"/>
        <w:ind w:left="360" w:hanging="360"/>
      </w:pPr>
      <w:r>
        <w:rPr>
          <w:rFonts w:ascii="Calibri" w:hAnsi="Calibri"/>
          <w:b/>
          <w:color w:val="525866"/>
          <w:sz w:val="22"/>
        </w:rPr>
        <w:t xml:space="preserve">May 11, 2026 — Q1 2026 Earnings: PUCT Approves CyrusOne Freestone Co-Location: </w:t>
      </w:r>
      <w:r>
        <w:rPr>
          <w:rFonts w:ascii="Calibri" w:hAnsi="Calibri"/>
          <w:color w:val="525866"/>
          <w:sz w:val="22"/>
        </w:rPr>
        <w:t xml:space="preserve">The Public Utility Commission of Texas approved the net metering application for the CyrusOne data center co-location at Constellation’s Freestone Energy Center (subject to conditions). This is the </w:t>
      </w:r>
      <w:r>
        <w:rPr>
          <w:rFonts w:ascii="Calibri" w:hAnsi="Calibri"/>
          <w:b/>
          <w:color w:val="525866"/>
          <w:sz w:val="22"/>
        </w:rPr>
        <w:t>first regulatory approval for a Powered Land co-location deal</w:t>
      </w:r>
      <w:r>
        <w:rPr>
          <w:rFonts w:ascii="Calibri" w:hAnsi="Calibri"/>
          <w:color w:val="525866"/>
          <w:sz w:val="22"/>
        </w:rPr>
        <w:t xml:space="preserve"> in the U.S. and represents an important market signal. Phase 1 covers 380 MW; an exclusive Phase 2 agreement for an additional 380 MW is in place. Substation construction is underway; power delivery targeted Q4 2026. Source: CEG Q1 2026 Earnings Release.</w:t>
      </w:r>
    </w:p>
    <w:p>
      <w:pPr>
        <w:pStyle w:val="ListBullet"/>
        <w:ind w:left="360" w:hanging="360"/>
      </w:pPr>
      <w:r>
        <w:rPr>
          <w:rFonts w:ascii="Calibri" w:hAnsi="Calibri"/>
          <w:b/>
          <w:color w:val="525866"/>
          <w:sz w:val="22"/>
        </w:rPr>
        <w:t xml:space="preserve">May 11, 2026 — New Generation Projects Placed in Service: </w:t>
      </w:r>
      <w:r>
        <w:rPr>
          <w:rFonts w:ascii="Calibri" w:hAnsi="Calibri"/>
          <w:color w:val="525866"/>
          <w:sz w:val="22"/>
        </w:rPr>
        <w:t>Pastoria Solar (105 MW, California, commissioned April 16) and Pin Oak Creek Energy Center (460 MW natural gas, Texas, commercial operation April 30) both came online during Q2 2026, adding to the generation fleet and contributing to Q2 revenues. Source: CEG Q1 2026 Earnings Release.</w:t>
      </w:r>
    </w:p>
    <w:p>
      <w:pPr>
        <w:pStyle w:val="ListBullet"/>
        <w:ind w:left="360" w:hanging="360"/>
      </w:pPr>
      <w:r>
        <w:rPr>
          <w:rFonts w:ascii="Calibri" w:hAnsi="Calibri"/>
          <w:b/>
          <w:color w:val="525866"/>
          <w:sz w:val="22"/>
        </w:rPr>
        <w:t xml:space="preserve">May 11, 2026 — Share Repurchase Activity: </w:t>
      </w:r>
      <w:r>
        <w:rPr>
          <w:rFonts w:ascii="Calibri" w:hAnsi="Calibri"/>
          <w:color w:val="525866"/>
          <w:sz w:val="22"/>
        </w:rPr>
        <w:t>~$335M deployed for share repurchases YTD as of the Q1 call, with $4.7B remaining under the $5.0B authorization. Management repurchased ~1.2M shares shortly after the March 31 guidance call at prices they described as “compelling,” signaling conviction at lower price levels. Source: CEG Q1 2026 Earnings Call.</w:t>
      </w:r>
    </w:p>
    <w:p>
      <w:pPr>
        <w:pStyle w:val="ListBullet"/>
        <w:ind w:left="360" w:hanging="360"/>
      </w:pPr>
      <w:r>
        <w:rPr>
          <w:rFonts w:ascii="Calibri" w:hAnsi="Calibri"/>
          <w:b/>
          <w:color w:val="525866"/>
          <w:sz w:val="22"/>
        </w:rPr>
        <w:t xml:space="preserve">Ongoing — PJM Regulatory Timeline: </w:t>
      </w:r>
      <w:r>
        <w:rPr>
          <w:rFonts w:ascii="Calibri" w:hAnsi="Calibri"/>
          <w:color w:val="525866"/>
          <w:sz w:val="22"/>
        </w:rPr>
        <w:t>PJM’s Reliability Backstop Procurement (RBP) framework is targeting FERC finalization by September 29, 2026, with bilateral contracting (Phase 1) beginning September 2026 and central procurement (Phase 2) in March 2027. Management has described PJM’s pace as “unprecedented” and expects full clarity on all PJM issues by year-end. The December 2026 capacity auction is the key near-term milestone. Source: CEG Q1 2026 Earnings Call; Talen Energy Q2 2026 Earnings Call.</w:t>
      </w:r>
    </w:p>
    <w:p>
      <w:pPr>
        <w:pStyle w:val="ListBullet"/>
        <w:ind w:left="360" w:hanging="360"/>
      </w:pPr>
      <w:r>
        <w:rPr>
          <w:rFonts w:ascii="Calibri" w:hAnsi="Calibri"/>
          <w:b/>
          <w:color w:val="525866"/>
          <w:sz w:val="22"/>
        </w:rPr>
        <w:t xml:space="preserve">Ongoing — Crane Clean Energy Center (Three Mile Island) Restart: </w:t>
      </w:r>
      <w:r>
        <w:rPr>
          <w:rFonts w:ascii="Calibri" w:hAnsi="Calibri"/>
          <w:color w:val="525866"/>
          <w:sz w:val="22"/>
        </w:rPr>
        <w:t>Management maintains a 2027 restart target despite PJM interconnection studies indicating potential delay into the 2030s. CEG has filed a FERC request to transfer capacity injection rights from Eddystone to Crane to facilitate on-schedule restart. DOE $1B loan closed November 2025. Source: CEG Q1 2026 Earnings Call.</w:t>
      </w:r>
    </w:p>
    <w:p>
      <w:pPr>
        <w:pStyle w:val="ListBullet"/>
        <w:ind w:left="360" w:hanging="360"/>
      </w:pPr>
      <w:r>
        <w:rPr>
          <w:rFonts w:ascii="Calibri" w:hAnsi="Calibri"/>
          <w:b/>
          <w:color w:val="525866"/>
          <w:sz w:val="22"/>
        </w:rPr>
        <w:t xml:space="preserve">Ongoing — Amazon Web Services / Calvert Cliffs: </w:t>
      </w:r>
      <w:r>
        <w:rPr>
          <w:rFonts w:ascii="Calibri" w:hAnsi="Calibri"/>
          <w:color w:val="525866"/>
          <w:sz w:val="22"/>
        </w:rPr>
        <w:t>AWS held a community open house in Calvert County, Maryland in late March 2026 to discuss a potential co-located data center campus adjacent to Constellation’s Calvert Cliffs nuclear plant. No formal agreement has been signed. This remains a key potential catalyst for a named hyperscaler deal announcement. Source: CEG Summary Knowledge.</w:t>
      </w:r>
    </w:p>
    <w:p>
      <w:r>
        <w:br w:type="page"/>
      </w:r>
    </w:p>
    <w:p>
      <w:pPr>
        <w:pStyle w:val="Heading1"/>
        <w:pBdr>
          <w:bottom w:val="single" w:sz="4" w:space="1" w:color="FB9120"/>
        </w:pBdr>
      </w:pPr>
      <w:r>
        <w:rPr>
          <w:rFonts w:ascii="Calibri" w:hAnsi="Calibri"/>
          <w:b/>
          <w:color w:val="3B4259"/>
          <w:sz w:val="40"/>
        </w:rPr>
        <w:t>7. Peer Commentary &amp; Current-Quarter Read-Throughs</w:t>
      </w:r>
    </w:p>
    <w:p>
      <w:r>
        <w:rPr>
          <w:rFonts w:ascii="Calibri" w:hAnsi="Calibri"/>
          <w:b/>
          <w:color w:val="525866"/>
          <w:sz w:val="22"/>
        </w:rPr>
        <w:t xml:space="preserve">Key Takeaway: </w:t>
      </w:r>
      <w:r>
        <w:rPr>
          <w:rFonts w:ascii="Calibri" w:hAnsi="Calibri"/>
          <w:color w:val="525866"/>
          <w:sz w:val="22"/>
        </w:rPr>
        <w:t>Peers reporting Q2 2026 results in the last 60 days paint a consistently bullish picture for CEG’s Q2 and near-term outlook: PJM fundamentals are strengthening materially (capacity prices at cap, spark spreads up ~50% YoY), data center demand is driving record peak load days in July, and FERC’s Section 206 show cause orders are expected to create a “market shift” favoring reliable baseload generation — all of which directly benefit CEG’s nuclear and gas fleet.</w:t>
      </w:r>
    </w:p>
    <w:p>
      <w:r>
        <w:rPr>
          <w:rFonts w:ascii="Calibri" w:hAnsi="Calibri"/>
          <w:b/>
          <w:color w:val="525866"/>
          <w:sz w:val="22"/>
        </w:rPr>
        <w:t xml:space="preserve">Scope Note: </w:t>
      </w:r>
      <w:r>
        <w:rPr>
          <w:rFonts w:ascii="Calibri" w:hAnsi="Calibri"/>
          <w:i/>
          <w:color w:val="525866"/>
          <w:sz w:val="22"/>
        </w:rPr>
        <w:t>The following read-throughs are drawn exclusively from peer earnings calls and 8-K filings made between June 6 and August 5, 2026 (the last 60 days). Only forward-looking commentary pertaining to current Q2/Q3 2026 conditions or ongoing market trends is included. Backward-looking peer-quarter results commentary has been excluded.</w:t>
      </w:r>
    </w:p>
    <w:p>
      <w:pPr>
        <w:pStyle w:val="Heading2"/>
      </w:pPr>
      <w:r>
        <w:rPr>
          <w:rFonts w:ascii="Calibri" w:hAnsi="Calibri"/>
          <w:b/>
          <w:color w:val="3B4259"/>
          <w:sz w:val="28"/>
        </w:rPr>
        <w:t>Talen Energy (TLN) — Q2 2026 Earnings Call (August 5, 2026)</w:t>
      </w:r>
    </w:p>
    <w:p>
      <w:r>
        <w:rPr>
          <w:rFonts w:ascii="Calibri" w:hAnsi="Calibri"/>
          <w:b/>
          <w:color w:val="525866"/>
          <w:sz w:val="22"/>
        </w:rPr>
        <w:t xml:space="preserve">Relevance: </w:t>
      </w:r>
      <w:r>
        <w:rPr>
          <w:rFonts w:ascii="Calibri" w:hAnsi="Calibri"/>
          <w:color w:val="525866"/>
          <w:sz w:val="22"/>
        </w:rPr>
        <w:t>Talen is a direct PJM peer with nuclear and gas generation assets. Its Q2 2026 commentary is the most directly applicable read-through for CEG.</w:t>
      </w:r>
    </w:p>
    <w:p>
      <w:pPr>
        <w:pStyle w:val="ListBullet"/>
        <w:ind w:left="360" w:hanging="360"/>
      </w:pPr>
      <w:r>
        <w:rPr>
          <w:rFonts w:ascii="Calibri" w:hAnsi="Calibri"/>
          <w:b/>
          <w:color w:val="525866"/>
          <w:sz w:val="22"/>
        </w:rPr>
        <w:t xml:space="preserve">PJM Fundamentals Strengthening Sharply: </w:t>
      </w:r>
      <w:r>
        <w:rPr>
          <w:rFonts w:ascii="Calibri" w:hAnsi="Calibri"/>
          <w:color w:val="525866"/>
          <w:sz w:val="22"/>
        </w:rPr>
        <w:t xml:space="preserve">“PJM fundamentals continue to strengthen, and we have seen a nearly 50% increase in West Hub sparks since last year.” Forward wholesale prices for capacity and energy are “approaching those levels, if not exceeding” the $80/MWh range previously discussed for hyperscaler PPAs. “Long term forwards have finally caught a bid.” </w:t>
      </w:r>
      <w:r>
        <w:rPr>
          <w:rFonts w:ascii="Calibri" w:hAnsi="Calibri"/>
          <w:b/>
          <w:color w:val="525866"/>
          <w:sz w:val="22"/>
        </w:rPr>
        <w:t xml:space="preserve">Read-through: </w:t>
      </w:r>
      <w:r>
        <w:rPr>
          <w:rFonts w:ascii="Calibri" w:hAnsi="Calibri"/>
          <w:color w:val="525866"/>
          <w:sz w:val="22"/>
        </w:rPr>
        <w:t>Directly positive for CEG’s unhedged nuclear and gas generation in PJM. Higher spark spreads and rising forward power prices improve revenue potential for open positions and support premium pricing on new long-term contracts.</w:t>
      </w:r>
    </w:p>
    <w:p>
      <w:pPr>
        <w:pStyle w:val="ListBullet"/>
        <w:ind w:left="360" w:hanging="360"/>
      </w:pPr>
      <w:r>
        <w:rPr>
          <w:rFonts w:ascii="Calibri" w:hAnsi="Calibri"/>
          <w:b/>
          <w:color w:val="525866"/>
          <w:sz w:val="22"/>
        </w:rPr>
        <w:t xml:space="preserve">Record Peak Load Days in July (Q3 2026): </w:t>
      </w:r>
      <w:r>
        <w:rPr>
          <w:rFonts w:ascii="Calibri" w:hAnsi="Calibri"/>
          <w:color w:val="525866"/>
          <w:sz w:val="22"/>
        </w:rPr>
        <w:t xml:space="preserve">“70% of the ten highest peak load days [in PJM history] have occurred over the last 15 months” and “five of these peak load days were just in the month of July.” Demand is forecasted to grow over 17% through end of decade. </w:t>
      </w:r>
      <w:r>
        <w:rPr>
          <w:rFonts w:ascii="Calibri" w:hAnsi="Calibri"/>
          <w:b/>
          <w:color w:val="525866"/>
          <w:sz w:val="22"/>
        </w:rPr>
        <w:t xml:space="preserve">Read-through: </w:t>
      </w:r>
      <w:r>
        <w:rPr>
          <w:rFonts w:ascii="Calibri" w:hAnsi="Calibri"/>
          <w:color w:val="525866"/>
          <w:sz w:val="22"/>
        </w:rPr>
        <w:t>Hot weather and record demand in July (Q3) drives higher dispatch and power prices for CEG’s baseload and peaking assets. This is a direct positive for Q3 2026 generation volumes and revenues.</w:t>
      </w:r>
    </w:p>
    <w:p>
      <w:pPr>
        <w:pStyle w:val="ListBullet"/>
        <w:ind w:left="360" w:hanging="360"/>
      </w:pPr>
      <w:r>
        <w:rPr>
          <w:rFonts w:ascii="Calibri" w:hAnsi="Calibri"/>
          <w:b/>
          <w:color w:val="525866"/>
          <w:sz w:val="22"/>
        </w:rPr>
        <w:t xml:space="preserve">PJM Capacity Markets at Price Cap: </w:t>
      </w:r>
      <w:r>
        <w:rPr>
          <w:rFonts w:ascii="Calibri" w:hAnsi="Calibri"/>
          <w:color w:val="525866"/>
          <w:sz w:val="22"/>
        </w:rPr>
        <w:t xml:space="preserve">“The last three base residual capacity auctions [have cleared] at the price cap and uncapped prices that would have settled in excess of $500 a megawatt day.” Bilateral broker quotes for post-cap years are “in the mid to upper 200s” with bids seen “at the cap level for the early 2030s.” </w:t>
      </w:r>
      <w:r>
        <w:rPr>
          <w:rFonts w:ascii="Calibri" w:hAnsi="Calibri"/>
          <w:b/>
          <w:color w:val="525866"/>
          <w:sz w:val="22"/>
        </w:rPr>
        <w:t xml:space="preserve">Read-through: </w:t>
      </w:r>
      <w:r>
        <w:rPr>
          <w:rFonts w:ascii="Calibri" w:hAnsi="Calibri"/>
          <w:color w:val="525866"/>
          <w:sz w:val="22"/>
        </w:rPr>
        <w:t>Confirms the structural tightness of the PJM capacity market that underpins CEG’s July 14 auction result ($325/MW-day for 2028–2029). Bilateral market strength supports outer-year earnings visibility.</w:t>
      </w:r>
    </w:p>
    <w:p>
      <w:pPr>
        <w:pStyle w:val="ListBullet"/>
        <w:ind w:left="360" w:hanging="360"/>
      </w:pPr>
      <w:r>
        <w:rPr>
          <w:rFonts w:ascii="Calibri" w:hAnsi="Calibri"/>
          <w:b/>
          <w:color w:val="525866"/>
          <w:sz w:val="22"/>
        </w:rPr>
        <w:t xml:space="preserve">PJM RBP Regulatory Timeline: </w:t>
      </w:r>
      <w:r>
        <w:rPr>
          <w:rFonts w:ascii="Calibri" w:hAnsi="Calibri"/>
          <w:color w:val="525866"/>
          <w:sz w:val="22"/>
        </w:rPr>
        <w:t xml:space="preserve">Talen expects the RBP framework to be “finalized at FERC by September 29th and then executed on the 30th” — a “short time frame” but imperative to “get this done before the December auction.” </w:t>
      </w:r>
      <w:r>
        <w:rPr>
          <w:rFonts w:ascii="Calibri" w:hAnsi="Calibri"/>
          <w:b/>
          <w:color w:val="525866"/>
          <w:sz w:val="22"/>
        </w:rPr>
        <w:t xml:space="preserve">Read-through: </w:t>
      </w:r>
      <w:r>
        <w:rPr>
          <w:rFonts w:ascii="Calibri" w:hAnsi="Calibri"/>
          <w:color w:val="525866"/>
          <w:sz w:val="22"/>
        </w:rPr>
        <w:t>Confirms the December 2026 capacity auction as the key near-term regulatory milestone for CEG. A September FERC finalization would be a significant positive catalyst for CEG’s hyperscaler deal pipeline.</w:t>
      </w:r>
    </w:p>
    <w:p>
      <w:pPr>
        <w:pStyle w:val="Heading2"/>
      </w:pPr>
      <w:r>
        <w:rPr>
          <w:rFonts w:ascii="Calibri" w:hAnsi="Calibri"/>
          <w:b/>
          <w:color w:val="3B4259"/>
          <w:sz w:val="28"/>
        </w:rPr>
        <w:t>NextEra Energy (NEE) — Q2 2026 Earnings Call (July 24, 2026)</w:t>
      </w:r>
    </w:p>
    <w:p>
      <w:r>
        <w:rPr>
          <w:rFonts w:ascii="Calibri" w:hAnsi="Calibri"/>
          <w:b/>
          <w:color w:val="525866"/>
          <w:sz w:val="22"/>
        </w:rPr>
        <w:t xml:space="preserve">Relevance: </w:t>
      </w:r>
      <w:r>
        <w:rPr>
          <w:rFonts w:ascii="Calibri" w:hAnsi="Calibri"/>
          <w:color w:val="525866"/>
          <w:sz w:val="22"/>
        </w:rPr>
        <w:t>NEE is the largest U.S. clean energy company and a bellwether for power demand trends, hyperscaler contracting, and regulatory developments affecting competitive generators.</w:t>
      </w:r>
    </w:p>
    <w:p>
      <w:pPr>
        <w:pStyle w:val="ListBullet"/>
        <w:ind w:left="360" w:hanging="360"/>
      </w:pPr>
      <w:r>
        <w:rPr>
          <w:rFonts w:ascii="Calibri" w:hAnsi="Calibri"/>
          <w:b/>
          <w:color w:val="525866"/>
          <w:sz w:val="22"/>
        </w:rPr>
        <w:t xml:space="preserve">Supply-Demand Imbalance Driving Higher Prices: </w:t>
      </w:r>
      <w:r>
        <w:rPr>
          <w:rFonts w:ascii="Calibri" w:hAnsi="Calibri"/>
          <w:color w:val="525866"/>
          <w:sz w:val="22"/>
        </w:rPr>
        <w:t xml:space="preserve">“We have substantial energy demand that’s trying to be met by generation solutions. But supply is not matching demand today, which is resulting in higher pricing, you know, across the board.” Recontracting prices this quarter averaged “a premium of roughly $20 per megawatt hour above recent realized pricing” with 15-year average contract tenors. </w:t>
      </w:r>
      <w:r>
        <w:rPr>
          <w:rFonts w:ascii="Calibri" w:hAnsi="Calibri"/>
          <w:b/>
          <w:color w:val="525866"/>
          <w:sz w:val="22"/>
        </w:rPr>
        <w:t xml:space="preserve">Read-through: </w:t>
      </w:r>
      <w:r>
        <w:rPr>
          <w:rFonts w:ascii="Calibri" w:hAnsi="Calibri"/>
          <w:color w:val="525866"/>
          <w:sz w:val="22"/>
        </w:rPr>
        <w:t>Directly positive for CEG’s unhedged nuclear generation and future contracting. The $20/MWh recontracting premium confirms that the market is willing to pay up for long-term clean energy supply — exactly the product CEG offers from its 147M MWh of available nuclear generation.</w:t>
      </w:r>
    </w:p>
    <w:p>
      <w:pPr>
        <w:pStyle w:val="ListBullet"/>
        <w:ind w:left="360" w:hanging="360"/>
      </w:pPr>
      <w:r>
        <w:rPr>
          <w:rFonts w:ascii="Calibri" w:hAnsi="Calibri"/>
          <w:b/>
          <w:color w:val="525866"/>
          <w:sz w:val="22"/>
        </w:rPr>
        <w:t xml:space="preserve">Accelerating Data Center Demand: </w:t>
      </w:r>
      <w:r>
        <w:rPr>
          <w:rFonts w:ascii="Calibri" w:hAnsi="Calibri"/>
          <w:color w:val="525866"/>
          <w:sz w:val="22"/>
        </w:rPr>
        <w:t xml:space="preserve">“Power demand continues to accelerate.” NEE updated FPL large load expectations from 6 GW to 8 GW by 2032, with 21 GW of large load interest at FPL and 12 GW in advanced discussions. Energy Resources has 30 potential data center hub sites under discussion, expected to rise to 40 by year-end. </w:t>
      </w:r>
      <w:r>
        <w:rPr>
          <w:rFonts w:ascii="Calibri" w:hAnsi="Calibri"/>
          <w:b/>
          <w:color w:val="525866"/>
          <w:sz w:val="22"/>
        </w:rPr>
        <w:t xml:space="preserve">Read-through: </w:t>
      </w:r>
      <w:r>
        <w:rPr>
          <w:rFonts w:ascii="Calibri" w:hAnsi="Calibri"/>
          <w:color w:val="525866"/>
          <w:sz w:val="22"/>
        </w:rPr>
        <w:t>Confirms the durability and scale of data center power demand nationally. CEG’s nuclear fleet is uniquely positioned to serve this demand with 24/7 carbon-free baseload power.</w:t>
      </w:r>
    </w:p>
    <w:p>
      <w:pPr>
        <w:pStyle w:val="ListBullet"/>
        <w:ind w:left="360" w:hanging="360"/>
      </w:pPr>
      <w:r>
        <w:rPr>
          <w:rFonts w:ascii="Calibri" w:hAnsi="Calibri"/>
          <w:b/>
          <w:color w:val="525866"/>
          <w:sz w:val="22"/>
        </w:rPr>
        <w:t xml:space="preserve">FERC Section 206 Show Cause Orders — Market Shift Expected: </w:t>
      </w:r>
      <w:r>
        <w:rPr>
          <w:rFonts w:ascii="Calibri" w:hAnsi="Calibri"/>
          <w:color w:val="525866"/>
          <w:sz w:val="22"/>
        </w:rPr>
        <w:t xml:space="preserve">“We believe FERC’s Section 206 show cause orders that were announced in June will create yet another market shift and generate strong demand for the ability to match load with generation” and “shift the scales to creating a level playing field where people are going to have to compete on cost.” </w:t>
      </w:r>
      <w:r>
        <w:rPr>
          <w:rFonts w:ascii="Calibri" w:hAnsi="Calibri"/>
          <w:b/>
          <w:color w:val="525866"/>
          <w:sz w:val="22"/>
        </w:rPr>
        <w:t xml:space="preserve">Read-through: </w:t>
      </w:r>
      <w:r>
        <w:rPr>
          <w:rFonts w:ascii="Calibri" w:hAnsi="Calibri"/>
          <w:color w:val="525866"/>
          <w:sz w:val="22"/>
        </w:rPr>
        <w:t>This is a significant positive for CEG. FERC’s Section 206 actions in PJM (where CEG has its largest generation footprint) are expected to drive market rule changes that favor reliable, dispatchable baseload generation — CEG’s core competitive advantage. A “level playing field” competing on cost favors CEG’s low-cost nuclear fleet.</w:t>
      </w:r>
    </w:p>
    <w:p>
      <w:pPr>
        <w:pStyle w:val="ListBullet"/>
        <w:ind w:left="360" w:hanging="360"/>
      </w:pPr>
      <w:r>
        <w:rPr>
          <w:rFonts w:ascii="Calibri" w:hAnsi="Calibri"/>
          <w:b/>
          <w:color w:val="525866"/>
          <w:sz w:val="22"/>
        </w:rPr>
        <w:t xml:space="preserve">Baseload Generation as Competitive Advantage: </w:t>
      </w:r>
      <w:r>
        <w:rPr>
          <w:rFonts w:ascii="Calibri" w:hAnsi="Calibri"/>
          <w:color w:val="525866"/>
          <w:sz w:val="22"/>
        </w:rPr>
        <w:t xml:space="preserve">“Having 90% of our fleet in base load gas generation in nuclear really allows us to quickly and easily integrate additional generation to provide the speed to market that all these customers are looking at.” </w:t>
      </w:r>
      <w:r>
        <w:rPr>
          <w:rFonts w:ascii="Calibri" w:hAnsi="Calibri"/>
          <w:b/>
          <w:color w:val="525866"/>
          <w:sz w:val="22"/>
        </w:rPr>
        <w:t xml:space="preserve">Read-through: </w:t>
      </w:r>
      <w:r>
        <w:rPr>
          <w:rFonts w:ascii="Calibri" w:hAnsi="Calibri"/>
          <w:color w:val="525866"/>
          <w:sz w:val="22"/>
        </w:rPr>
        <w:t>Reinforces the strategic value of CEG’s predominantly nuclear fleet. Speed-to-market and reliability are the key attributes hyperscalers are seeking — CEG’s existing nuclear assets are already interconnected and permitted.</w:t>
      </w:r>
    </w:p>
    <w:p>
      <w:pPr>
        <w:pStyle w:val="Heading2"/>
      </w:pPr>
      <w:r>
        <w:rPr>
          <w:rFonts w:ascii="Calibri" w:hAnsi="Calibri"/>
          <w:b/>
          <w:color w:val="3B4259"/>
          <w:sz w:val="28"/>
        </w:rPr>
        <w:t>Dominion Energy (D) — Q2 2026 Earnings Call (July 31, 2026)</w:t>
      </w:r>
    </w:p>
    <w:p>
      <w:r>
        <w:rPr>
          <w:rFonts w:ascii="Calibri" w:hAnsi="Calibri"/>
          <w:b/>
          <w:color w:val="525866"/>
          <w:sz w:val="22"/>
        </w:rPr>
        <w:t xml:space="preserve">Relevance: </w:t>
      </w:r>
      <w:r>
        <w:rPr>
          <w:rFonts w:ascii="Calibri" w:hAnsi="Calibri"/>
          <w:color w:val="525866"/>
          <w:sz w:val="22"/>
        </w:rPr>
        <w:t>Dominion serves the Virginia data center corridor (the world’s largest data center market) and operates in PJM, making its demand commentary directly relevant to CEG’s PJM generation assets.</w:t>
      </w:r>
    </w:p>
    <w:p>
      <w:pPr>
        <w:pStyle w:val="ListBullet"/>
        <w:ind w:left="360" w:hanging="360"/>
      </w:pPr>
      <w:r>
        <w:rPr>
          <w:rFonts w:ascii="Calibri" w:hAnsi="Calibri"/>
          <w:b/>
          <w:color w:val="525866"/>
          <w:sz w:val="22"/>
        </w:rPr>
        <w:t xml:space="preserve">Record Peak Demand Days in Q3 2026: </w:t>
      </w:r>
      <w:r>
        <w:rPr>
          <w:rFonts w:ascii="Calibri" w:hAnsi="Calibri"/>
          <w:color w:val="525866"/>
          <w:sz w:val="22"/>
        </w:rPr>
        <w:t xml:space="preserve">“Nine of the Dom zone’s top ten all-time peak days have occurred this year, including the eight highest summer peak days, which have all occurred in the last two months.” Dominion now has over 53 GW of data center capacity in various stages of contracting, up over 5 GW (11%) since year-end. </w:t>
      </w:r>
      <w:r>
        <w:rPr>
          <w:rFonts w:ascii="Calibri" w:hAnsi="Calibri"/>
          <w:b/>
          <w:color w:val="525866"/>
          <w:sz w:val="22"/>
        </w:rPr>
        <w:t xml:space="preserve">Read-through: </w:t>
      </w:r>
      <w:r>
        <w:rPr>
          <w:rFonts w:ascii="Calibri" w:hAnsi="Calibri"/>
          <w:color w:val="525866"/>
          <w:sz w:val="22"/>
        </w:rPr>
        <w:t>Record summer peak demand in the PJM/DOM zone is a direct positive for CEG’s generation assets in the region. High demand periods drive higher wholesale power prices and increased dispatch for CEG’s nuclear and gas fleet.</w:t>
      </w:r>
    </w:p>
    <w:p>
      <w:pPr>
        <w:pStyle w:val="ListBullet"/>
        <w:ind w:left="360" w:hanging="360"/>
      </w:pPr>
      <w:r>
        <w:rPr>
          <w:rFonts w:ascii="Calibri" w:hAnsi="Calibri"/>
          <w:b/>
          <w:color w:val="525866"/>
          <w:sz w:val="22"/>
        </w:rPr>
        <w:t xml:space="preserve">Nuclear Policy Support — Millstone (Connecticut): </w:t>
      </w:r>
      <w:r>
        <w:rPr>
          <w:rFonts w:ascii="Calibri" w:hAnsi="Calibri"/>
          <w:color w:val="525866"/>
          <w:sz w:val="22"/>
        </w:rPr>
        <w:t xml:space="preserve">Dominion expects “a solicitation decision from the Connecticut Department of Energy and Environmental Protection regarding [Millstone’s] bid” in the near term, with negotiations with state utilities to follow. The contract is expected to “save customers in Connecticut over $900 million over the ten-year life.” </w:t>
      </w:r>
      <w:r>
        <w:rPr>
          <w:rFonts w:ascii="Calibri" w:hAnsi="Calibri"/>
          <w:b/>
          <w:color w:val="525866"/>
          <w:sz w:val="22"/>
        </w:rPr>
        <w:t xml:space="preserve">Read-through: </w:t>
      </w:r>
      <w:r>
        <w:rPr>
          <w:rFonts w:ascii="Calibri" w:hAnsi="Calibri"/>
          <w:color w:val="525866"/>
          <w:sz w:val="22"/>
        </w:rPr>
        <w:t>A favorable Millstone solicitation decision would reinforce state-level policy support for nuclear power in the Northeast, setting a positive precedent for CEG’s nuclear assets in NYISO and potentially informing similar programs in PJM states.</w:t>
      </w:r>
    </w:p>
    <w:p>
      <w:pPr>
        <w:pStyle w:val="ListBullet"/>
        <w:ind w:left="360" w:hanging="360"/>
      </w:pPr>
      <w:r>
        <w:rPr>
          <w:rFonts w:ascii="Calibri" w:hAnsi="Calibri"/>
          <w:b/>
          <w:color w:val="525866"/>
          <w:sz w:val="22"/>
        </w:rPr>
        <w:t xml:space="preserve">Data Center Grid Reliability Concerns: </w:t>
      </w:r>
      <w:r>
        <w:rPr>
          <w:rFonts w:ascii="Calibri" w:hAnsi="Calibri"/>
          <w:color w:val="525866"/>
          <w:sz w:val="22"/>
        </w:rPr>
        <w:t xml:space="preserve">A recent transmission fault caused data centers to fail to “ride through” a momentary outage, highlighting the increasing strain on the transmission system from rapid load growth. Dominion believes “there will continue to be other mitigating items” to address reliability. </w:t>
      </w:r>
      <w:r>
        <w:rPr>
          <w:rFonts w:ascii="Calibri" w:hAnsi="Calibri"/>
          <w:b/>
          <w:color w:val="525866"/>
          <w:sz w:val="22"/>
        </w:rPr>
        <w:t xml:space="preserve">Read-through: </w:t>
      </w:r>
      <w:r>
        <w:rPr>
          <w:rFonts w:ascii="Calibri" w:hAnsi="Calibri"/>
          <w:color w:val="525866"/>
          <w:sz w:val="22"/>
        </w:rPr>
        <w:t>Persistent reliability concerns from rapid data center load growth could accelerate demand for firm, dispatchable generation like CEG’s nuclear and gas plants to serve critical data center loads — a structural positive for CEG’s contracting pipeline.</w:t>
      </w:r>
    </w:p>
    <w:p>
      <w:pPr>
        <w:pStyle w:val="Heading2"/>
      </w:pPr>
      <w:r>
        <w:rPr>
          <w:rFonts w:ascii="Calibri" w:hAnsi="Calibri"/>
          <w:b/>
          <w:color w:val="3B4259"/>
          <w:sz w:val="28"/>
        </w:rPr>
        <w:t>NRG Energy (NRG) — Q2 2026 Earnings Call (August 4, 2026)</w:t>
      </w:r>
    </w:p>
    <w:p>
      <w:r>
        <w:rPr>
          <w:rFonts w:ascii="Calibri" w:hAnsi="Calibri"/>
          <w:b/>
          <w:color w:val="525866"/>
          <w:sz w:val="22"/>
        </w:rPr>
        <w:t xml:space="preserve">Relevance: </w:t>
      </w:r>
      <w:r>
        <w:rPr>
          <w:rFonts w:ascii="Calibri" w:hAnsi="Calibri"/>
          <w:color w:val="525866"/>
          <w:sz w:val="22"/>
        </w:rPr>
        <w:t>NRG is a competitive power generator with significant PJM and ERCOT exposure, and recently closed the LS Power acquisition. Its commentary on wholesale prices, hedging, and data center contracting structures is directly relevant to CEG.</w:t>
      </w:r>
    </w:p>
    <w:p>
      <w:pPr>
        <w:pStyle w:val="ListBullet"/>
        <w:ind w:left="360" w:hanging="360"/>
      </w:pPr>
      <w:r>
        <w:rPr>
          <w:rFonts w:ascii="Calibri" w:hAnsi="Calibri"/>
          <w:b/>
          <w:color w:val="525866"/>
          <w:sz w:val="22"/>
        </w:rPr>
        <w:t xml:space="preserve">PJM Prices Strengthening but Hedges Limiting Near-Term Benefit: </w:t>
      </w:r>
      <w:r>
        <w:rPr>
          <w:rFonts w:ascii="Calibri" w:hAnsi="Calibri"/>
          <w:color w:val="525866"/>
          <w:sz w:val="22"/>
        </w:rPr>
        <w:t xml:space="preserve">“While PJM prices have strengthened, pre-existing hedges on the acquired portfolio and higher energy costs have limited the near-term benefit.” NRG is “pretty much substantially hedged for the balance of the year.” </w:t>
      </w:r>
      <w:r>
        <w:rPr>
          <w:rFonts w:ascii="Calibri" w:hAnsi="Calibri"/>
          <w:b/>
          <w:color w:val="525866"/>
          <w:sz w:val="22"/>
        </w:rPr>
        <w:t xml:space="preserve">Read-through: </w:t>
      </w:r>
      <w:r>
        <w:rPr>
          <w:rFonts w:ascii="Calibri" w:hAnsi="Calibri"/>
          <w:color w:val="525866"/>
          <w:sz w:val="22"/>
        </w:rPr>
        <w:t>Confirms that strengthening PJM prices are a real market phenomenon, but that heavily hedged generators (like CEG) may not capture the full near-term upside. This is consistent with CEG’s hedging strategy and suggests Q2 realized prices may be in line with hedged levels rather than spot.</w:t>
      </w:r>
    </w:p>
    <w:p>
      <w:pPr>
        <w:pStyle w:val="ListBullet"/>
        <w:ind w:left="360" w:hanging="360"/>
      </w:pPr>
      <w:r>
        <w:rPr>
          <w:rFonts w:ascii="Calibri" w:hAnsi="Calibri"/>
          <w:b/>
          <w:color w:val="525866"/>
          <w:sz w:val="22"/>
        </w:rPr>
        <w:t xml:space="preserve">ERCOT Prices Soft in Q2: </w:t>
      </w:r>
      <w:r>
        <w:rPr>
          <w:rFonts w:ascii="Calibri" w:hAnsi="Calibri"/>
          <w:color w:val="525866"/>
          <w:sz w:val="22"/>
        </w:rPr>
        <w:t xml:space="preserve">“ERCOT Houston around the clock prices averaged $33 per megawatt hour during the quarter, 8% lower than last year, and well below our 2026 planning assumption of $52.” The “ERCOT market is not valuing anything right now.” </w:t>
      </w:r>
      <w:r>
        <w:rPr>
          <w:rFonts w:ascii="Calibri" w:hAnsi="Calibri"/>
          <w:b/>
          <w:color w:val="525866"/>
          <w:sz w:val="22"/>
        </w:rPr>
        <w:t xml:space="preserve">Read-through: </w:t>
      </w:r>
      <w:r>
        <w:rPr>
          <w:rFonts w:ascii="Calibri" w:hAnsi="Calibri"/>
          <w:color w:val="525866"/>
          <w:sz w:val="22"/>
        </w:rPr>
        <w:t>Soft ERCOT spot prices in Q2 are a modest negative for CEG’s Calpine gas fleet in Texas. However, CEG’s ERCOT exposure is primarily through the Calpine gas fleet, which is largely hedged, and the Freestone Powered Land deal (CyrusOne) provides contracted revenue independent of spot prices.</w:t>
      </w:r>
    </w:p>
    <w:p>
      <w:pPr>
        <w:pStyle w:val="ListBullet"/>
        <w:ind w:left="360" w:hanging="360"/>
      </w:pPr>
      <w:r>
        <w:rPr>
          <w:rFonts w:ascii="Calibri" w:hAnsi="Calibri"/>
          <w:b/>
          <w:color w:val="525866"/>
          <w:sz w:val="22"/>
        </w:rPr>
        <w:t xml:space="preserve">Data Center Contracting Structure — “Bring Your Own Power” Model: </w:t>
      </w:r>
      <w:r>
        <w:rPr>
          <w:rFonts w:ascii="Calibri" w:hAnsi="Calibri"/>
          <w:color w:val="525866"/>
          <w:sz w:val="22"/>
        </w:rPr>
        <w:t xml:space="preserve">NRG is advancing a 1.2 GW project in Texas with a leading hyperscaler, with “95% of the project’s free cash flow supported by capacity payments over the term, independent of data center utilization.” Return is “established up front and is not dependent on merchant power prices or natural gas prices.” </w:t>
      </w:r>
      <w:r>
        <w:rPr>
          <w:rFonts w:ascii="Calibri" w:hAnsi="Calibri"/>
          <w:b/>
          <w:color w:val="525866"/>
          <w:sz w:val="22"/>
        </w:rPr>
        <w:t xml:space="preserve">Read-through: </w:t>
      </w:r>
      <w:r>
        <w:rPr>
          <w:rFonts w:ascii="Calibri" w:hAnsi="Calibri"/>
          <w:color w:val="525866"/>
          <w:sz w:val="22"/>
        </w:rPr>
        <w:t>The BYOP contracting model — long-term capacity payments de-risked from commodity prices — is directly analogous to CEG’s Powered Land strategy. NRG’s successful structuring of this deal validates the commercial framework CEG is pursuing for its nuclear and gas co-location deals.</w:t>
      </w:r>
    </w:p>
    <w:p>
      <w:pPr>
        <w:pStyle w:val="ListBullet"/>
        <w:ind w:left="360" w:hanging="360"/>
      </w:pPr>
      <w:r>
        <w:rPr>
          <w:rFonts w:ascii="Calibri" w:hAnsi="Calibri"/>
          <w:b/>
          <w:color w:val="525866"/>
          <w:sz w:val="22"/>
        </w:rPr>
        <w:t xml:space="preserve">Virginia Rejoins RGGI (July 1, 2026): </w:t>
      </w:r>
      <w:r>
        <w:rPr>
          <w:rFonts w:ascii="Calibri" w:hAnsi="Calibri"/>
          <w:color w:val="525866"/>
          <w:sz w:val="22"/>
        </w:rPr>
        <w:t xml:space="preserve">Virginia’s return to RGGI effective July 1 creates “an estimated $70 million of incremental cost in 2026” for NRG’s 1.2 GW of Virginia assets. </w:t>
      </w:r>
      <w:r>
        <w:rPr>
          <w:rFonts w:ascii="Calibri" w:hAnsi="Calibri"/>
          <w:b/>
          <w:color w:val="525866"/>
          <w:sz w:val="22"/>
        </w:rPr>
        <w:t xml:space="preserve">Read-through: </w:t>
      </w:r>
      <w:r>
        <w:rPr>
          <w:rFonts w:ascii="Calibri" w:hAnsi="Calibri"/>
          <w:color w:val="525866"/>
          <w:sz w:val="22"/>
        </w:rPr>
        <w:t>CEG should be assessed for any unhedged Virginia generation exposure that could be subject to RGGI compliance costs in Q2/Q3 2026. This is a modest risk factor to monitor.</w:t>
      </w:r>
    </w:p>
    <w:p>
      <w:pPr>
        <w:pStyle w:val="Heading2"/>
      </w:pPr>
      <w:r>
        <w:rPr>
          <w:rFonts w:ascii="Calibri" w:hAnsi="Calibri"/>
          <w:b/>
          <w:color w:val="3B4259"/>
          <w:sz w:val="28"/>
        </w:rPr>
        <w:t>Entergy (ETR) — Q2 2026 Earnings Call (July 29, 2026)</w:t>
      </w:r>
    </w:p>
    <w:p>
      <w:r>
        <w:rPr>
          <w:rFonts w:ascii="Calibri" w:hAnsi="Calibri"/>
          <w:b/>
          <w:color w:val="525866"/>
          <w:sz w:val="22"/>
        </w:rPr>
        <w:t xml:space="preserve">Relevance: </w:t>
      </w:r>
      <w:r>
        <w:rPr>
          <w:rFonts w:ascii="Calibri" w:hAnsi="Calibri"/>
          <w:color w:val="525866"/>
          <w:sz w:val="22"/>
        </w:rPr>
        <w:t>Entergy is a regulated utility with a large data center pipeline in the Southeast. Its commentary on demand trends and new nuclear deployment is relevant to the broader power market context for CEG.</w:t>
      </w:r>
    </w:p>
    <w:p>
      <w:pPr>
        <w:pStyle w:val="ListBullet"/>
        <w:ind w:left="360" w:hanging="360"/>
      </w:pPr>
      <w:r>
        <w:rPr>
          <w:rFonts w:ascii="Calibri" w:hAnsi="Calibri"/>
          <w:b/>
          <w:color w:val="525866"/>
          <w:sz w:val="22"/>
        </w:rPr>
        <w:t xml:space="preserve">Data Center Pipeline Remains Very Active: </w:t>
      </w:r>
      <w:r>
        <w:rPr>
          <w:rFonts w:ascii="Calibri" w:hAnsi="Calibri"/>
          <w:color w:val="525866"/>
          <w:sz w:val="22"/>
        </w:rPr>
        <w:t xml:space="preserve">Entergy has “7 to 12 GW of hyperscale data center potential” in its pipeline, with the “front end of our funnel” described as “very, very active” and the actual queue size “much, much greater” than the stated range. </w:t>
      </w:r>
      <w:r>
        <w:rPr>
          <w:rFonts w:ascii="Calibri" w:hAnsi="Calibri"/>
          <w:b/>
          <w:color w:val="525866"/>
          <w:sz w:val="22"/>
        </w:rPr>
        <w:t xml:space="preserve">Read-through: </w:t>
      </w:r>
      <w:r>
        <w:rPr>
          <w:rFonts w:ascii="Calibri" w:hAnsi="Calibri"/>
          <w:color w:val="525866"/>
          <w:sz w:val="22"/>
        </w:rPr>
        <w:t>Confirms the national scale and durability of data center power demand. While Entergy’s pipeline is in its regulated service territory (not directly competitive with CEG), the volume of demand signals a structural, multi-year tailwind for all power generators including CEG.</w:t>
      </w:r>
    </w:p>
    <w:p>
      <w:pPr>
        <w:pStyle w:val="ListBullet"/>
        <w:ind w:left="360" w:hanging="360"/>
      </w:pPr>
      <w:r>
        <w:rPr>
          <w:rFonts w:ascii="Calibri" w:hAnsi="Calibri"/>
          <w:b/>
          <w:color w:val="525866"/>
          <w:sz w:val="22"/>
        </w:rPr>
        <w:t xml:space="preserve">New Nuclear Deployment — Still Early: </w:t>
      </w:r>
      <w:r>
        <w:rPr>
          <w:rFonts w:ascii="Calibri" w:hAnsi="Calibri"/>
          <w:color w:val="525866"/>
          <w:sz w:val="22"/>
        </w:rPr>
        <w:t xml:space="preserve">Entergy is “making progress” on new nuclear deployment discussions but is “not near where we need to be just yet to be successful in launching.” Significant financial and regulatory hurdles remain. </w:t>
      </w:r>
      <w:r>
        <w:rPr>
          <w:rFonts w:ascii="Calibri" w:hAnsi="Calibri"/>
          <w:b/>
          <w:color w:val="525866"/>
          <w:sz w:val="22"/>
        </w:rPr>
        <w:t xml:space="preserve">Read-through: </w:t>
      </w:r>
      <w:r>
        <w:rPr>
          <w:rFonts w:ascii="Calibri" w:hAnsi="Calibri"/>
          <w:color w:val="525866"/>
          <w:sz w:val="22"/>
        </w:rPr>
        <w:t>The difficulty of new nuclear deployment reinforces the scarcity value of CEG’s existing, operating nuclear fleet. New entrants face years of permitting, financing, and construction risk — CEG’s 40+ GW of existing nuclear capacity cannot be replicated quickly or cheaply.</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Call Date</w:t>
            </w:r>
          </w:p>
        </w:tc>
        <w:tc>
          <w:tcPr>
            <w:tcW w:type="dxa" w:w="1728"/>
            <w:shd w:val="clear" w:color="auto" w:fill="3B4259"/>
          </w:tcPr>
          <w:p>
            <w:r>
              <w:rPr>
                <w:rFonts w:ascii="Calibri" w:hAnsi="Calibri"/>
                <w:b/>
                <w:color w:val="FFFFFF"/>
                <w:sz w:val="22"/>
              </w:rPr>
              <w:t>Key Theme</w:t>
            </w:r>
          </w:p>
        </w:tc>
        <w:tc>
          <w:tcPr>
            <w:tcW w:type="dxa" w:w="1728"/>
            <w:shd w:val="clear" w:color="auto" w:fill="3B4259"/>
          </w:tcPr>
          <w:p>
            <w:r>
              <w:rPr>
                <w:rFonts w:ascii="Calibri" w:hAnsi="Calibri"/>
                <w:b/>
                <w:color w:val="FFFFFF"/>
                <w:sz w:val="22"/>
              </w:rPr>
              <w:t>CEG Read-Through Direction</w:t>
            </w:r>
          </w:p>
        </w:tc>
        <w:tc>
          <w:tcPr>
            <w:tcW w:type="dxa" w:w="1728"/>
            <w:shd w:val="clear" w:color="auto" w:fill="3B4259"/>
          </w:tcPr>
          <w:p>
            <w:r>
              <w:rPr>
                <w:rFonts w:ascii="Calibri" w:hAnsi="Calibri"/>
                <w:b/>
                <w:color w:val="FFFFFF"/>
                <w:sz w:val="22"/>
              </w:rPr>
              <w:t>Magnitude</w:t>
            </w:r>
          </w:p>
        </w:tc>
      </w:tr>
      <w:tr>
        <w:tc>
          <w:tcPr>
            <w:tcW w:type="dxa" w:w="1728"/>
          </w:tcPr>
          <w:p>
            <w:r>
              <w:rPr>
                <w:rFonts w:ascii="Calibri" w:hAnsi="Calibri"/>
                <w:sz w:val="22"/>
              </w:rPr>
              <w:t>Talen Energy (TLN)</w:t>
            </w:r>
          </w:p>
        </w:tc>
        <w:tc>
          <w:tcPr>
            <w:tcW w:type="dxa" w:w="1728"/>
          </w:tcPr>
          <w:p>
            <w:r>
              <w:rPr>
                <w:rFonts w:ascii="Calibri" w:hAnsi="Calibri"/>
                <w:sz w:val="22"/>
              </w:rPr>
              <w:t>Aug 5, 2026</w:t>
            </w:r>
          </w:p>
        </w:tc>
        <w:tc>
          <w:tcPr>
            <w:tcW w:type="dxa" w:w="1728"/>
          </w:tcPr>
          <w:p>
            <w:r>
              <w:rPr>
                <w:rFonts w:ascii="Calibri" w:hAnsi="Calibri"/>
                <w:sz w:val="22"/>
              </w:rPr>
              <w:t>PJM spark spreads +50% YoY; record July peak load days; capacity at price cap; RBP finalization by Sept 29</w:t>
            </w:r>
          </w:p>
        </w:tc>
        <w:tc>
          <w:tcPr>
            <w:tcW w:type="dxa" w:w="1728"/>
          </w:tcPr>
          <w:p>
            <w:r>
              <w:rPr>
                <w:rFonts w:ascii="Calibri" w:hAnsi="Calibri"/>
                <w:b/>
                <w:color w:val="30A46C"/>
                <w:sz w:val="22"/>
              </w:rPr>
              <w:t>Positive</w:t>
            </w:r>
          </w:p>
        </w:tc>
        <w:tc>
          <w:tcPr>
            <w:tcW w:type="dxa" w:w="1728"/>
          </w:tcPr>
          <w:p>
            <w:r>
              <w:rPr>
                <w:rFonts w:ascii="Calibri" w:hAnsi="Calibri"/>
                <w:sz w:val="22"/>
              </w:rPr>
              <w:t>High — direct PJM peer</w:t>
            </w:r>
          </w:p>
        </w:tc>
      </w:tr>
      <w:tr>
        <w:tc>
          <w:tcPr>
            <w:tcW w:type="dxa" w:w="1728"/>
          </w:tcPr>
          <w:p>
            <w:r>
              <w:rPr>
                <w:rFonts w:ascii="Calibri" w:hAnsi="Calibri"/>
                <w:sz w:val="22"/>
              </w:rPr>
              <w:t>NextEra Energy (NEE)</w:t>
            </w:r>
          </w:p>
        </w:tc>
        <w:tc>
          <w:tcPr>
            <w:tcW w:type="dxa" w:w="1728"/>
          </w:tcPr>
          <w:p>
            <w:r>
              <w:rPr>
                <w:rFonts w:ascii="Calibri" w:hAnsi="Calibri"/>
                <w:sz w:val="22"/>
              </w:rPr>
              <w:t>Jul 24, 2026</w:t>
            </w:r>
          </w:p>
        </w:tc>
        <w:tc>
          <w:tcPr>
            <w:tcW w:type="dxa" w:w="1728"/>
          </w:tcPr>
          <w:p>
            <w:r>
              <w:rPr>
                <w:rFonts w:ascii="Calibri" w:hAnsi="Calibri"/>
                <w:sz w:val="22"/>
              </w:rPr>
              <w:t>Supply-demand imbalance driving +$20/MWh recontracting premium; FERC Section 206 orders to create market shift favoring baseload</w:t>
            </w:r>
          </w:p>
        </w:tc>
        <w:tc>
          <w:tcPr>
            <w:tcW w:type="dxa" w:w="1728"/>
          </w:tcPr>
          <w:p>
            <w:r>
              <w:rPr>
                <w:rFonts w:ascii="Calibri" w:hAnsi="Calibri"/>
                <w:b/>
                <w:color w:val="30A46C"/>
                <w:sz w:val="22"/>
              </w:rPr>
              <w:t>Positive</w:t>
            </w:r>
          </w:p>
        </w:tc>
        <w:tc>
          <w:tcPr>
            <w:tcW w:type="dxa" w:w="1728"/>
          </w:tcPr>
          <w:p>
            <w:r>
              <w:rPr>
                <w:rFonts w:ascii="Calibri" w:hAnsi="Calibri"/>
                <w:sz w:val="22"/>
              </w:rPr>
              <w:t>High — national demand/regulatory read-through</w:t>
            </w:r>
          </w:p>
        </w:tc>
      </w:tr>
      <w:tr>
        <w:tc>
          <w:tcPr>
            <w:tcW w:type="dxa" w:w="1728"/>
          </w:tcPr>
          <w:p>
            <w:r>
              <w:rPr>
                <w:rFonts w:ascii="Calibri" w:hAnsi="Calibri"/>
                <w:sz w:val="22"/>
              </w:rPr>
              <w:t>Dominion Energy (D)</w:t>
            </w:r>
          </w:p>
        </w:tc>
        <w:tc>
          <w:tcPr>
            <w:tcW w:type="dxa" w:w="1728"/>
          </w:tcPr>
          <w:p>
            <w:r>
              <w:rPr>
                <w:rFonts w:ascii="Calibri" w:hAnsi="Calibri"/>
                <w:sz w:val="22"/>
              </w:rPr>
              <w:t>Jul 31, 2026</w:t>
            </w:r>
          </w:p>
        </w:tc>
        <w:tc>
          <w:tcPr>
            <w:tcW w:type="dxa" w:w="1728"/>
          </w:tcPr>
          <w:p>
            <w:r>
              <w:rPr>
                <w:rFonts w:ascii="Calibri" w:hAnsi="Calibri"/>
                <w:sz w:val="22"/>
              </w:rPr>
              <w:t>9 of 10 all-time peak days in 2026; 53 GW data center pipeline; Millstone nuclear policy support</w:t>
            </w:r>
          </w:p>
        </w:tc>
        <w:tc>
          <w:tcPr>
            <w:tcW w:type="dxa" w:w="1728"/>
          </w:tcPr>
          <w:p>
            <w:r>
              <w:rPr>
                <w:rFonts w:ascii="Calibri" w:hAnsi="Calibri"/>
                <w:b/>
                <w:color w:val="30A46C"/>
                <w:sz w:val="22"/>
              </w:rPr>
              <w:t>Positive</w:t>
            </w:r>
          </w:p>
        </w:tc>
        <w:tc>
          <w:tcPr>
            <w:tcW w:type="dxa" w:w="1728"/>
          </w:tcPr>
          <w:p>
            <w:r>
              <w:rPr>
                <w:rFonts w:ascii="Calibri" w:hAnsi="Calibri"/>
                <w:sz w:val="22"/>
              </w:rPr>
              <w:t>High — PJM/DOM zone demand directly relevant</w:t>
            </w:r>
          </w:p>
        </w:tc>
      </w:tr>
      <w:tr>
        <w:tc>
          <w:tcPr>
            <w:tcW w:type="dxa" w:w="1728"/>
          </w:tcPr>
          <w:p>
            <w:r>
              <w:rPr>
                <w:rFonts w:ascii="Calibri" w:hAnsi="Calibri"/>
                <w:sz w:val="22"/>
              </w:rPr>
              <w:t>NRG Energy (NRG)</w:t>
            </w:r>
          </w:p>
        </w:tc>
        <w:tc>
          <w:tcPr>
            <w:tcW w:type="dxa" w:w="1728"/>
          </w:tcPr>
          <w:p>
            <w:r>
              <w:rPr>
                <w:rFonts w:ascii="Calibri" w:hAnsi="Calibri"/>
                <w:sz w:val="22"/>
              </w:rPr>
              <w:t>Aug 4, 2026</w:t>
            </w:r>
          </w:p>
        </w:tc>
        <w:tc>
          <w:tcPr>
            <w:tcW w:type="dxa" w:w="1728"/>
          </w:tcPr>
          <w:p>
            <w:r>
              <w:rPr>
                <w:rFonts w:ascii="Calibri" w:hAnsi="Calibri"/>
                <w:sz w:val="22"/>
              </w:rPr>
              <w:t>PJM prices strengthening but hedges limit near-term benefit; ERCOT soft in Q2; BYOP model validated; Virginia RGGI cost risk</w:t>
            </w:r>
          </w:p>
        </w:tc>
        <w:tc>
          <w:tcPr>
            <w:tcW w:type="dxa" w:w="1728"/>
          </w:tcPr>
          <w:p>
            <w:r>
              <w:rPr>
                <w:rFonts w:ascii="Calibri" w:hAnsi="Calibri"/>
                <w:b/>
                <w:sz w:val="22"/>
              </w:rPr>
              <w:t>Mixed</w:t>
            </w:r>
          </w:p>
        </w:tc>
        <w:tc>
          <w:tcPr>
            <w:tcW w:type="dxa" w:w="1728"/>
          </w:tcPr>
          <w:p>
            <w:r>
              <w:rPr>
                <w:rFonts w:ascii="Calibri" w:hAnsi="Calibri"/>
                <w:sz w:val="22"/>
              </w:rPr>
              <w:t>Medium — hedging/ERCOT nuances apply to CEG</w:t>
            </w:r>
          </w:p>
        </w:tc>
      </w:tr>
      <w:tr>
        <w:tc>
          <w:tcPr>
            <w:tcW w:type="dxa" w:w="1728"/>
          </w:tcPr>
          <w:p>
            <w:r>
              <w:rPr>
                <w:rFonts w:ascii="Calibri" w:hAnsi="Calibri"/>
                <w:sz w:val="22"/>
              </w:rPr>
              <w:t>Entergy (ETR)</w:t>
            </w:r>
          </w:p>
        </w:tc>
        <w:tc>
          <w:tcPr>
            <w:tcW w:type="dxa" w:w="1728"/>
          </w:tcPr>
          <w:p>
            <w:r>
              <w:rPr>
                <w:rFonts w:ascii="Calibri" w:hAnsi="Calibri"/>
                <w:sz w:val="22"/>
              </w:rPr>
              <w:t>Jul 29, 2026</w:t>
            </w:r>
          </w:p>
        </w:tc>
        <w:tc>
          <w:tcPr>
            <w:tcW w:type="dxa" w:w="1728"/>
          </w:tcPr>
          <w:p>
            <w:r>
              <w:rPr>
                <w:rFonts w:ascii="Calibri" w:hAnsi="Calibri"/>
                <w:sz w:val="22"/>
              </w:rPr>
              <w:t>Data center pipeline very active; new nuclear deployment still years away — reinforces existing fleet scarcity value</w:t>
            </w:r>
          </w:p>
        </w:tc>
        <w:tc>
          <w:tcPr>
            <w:tcW w:type="dxa" w:w="1728"/>
          </w:tcPr>
          <w:p>
            <w:r>
              <w:rPr>
                <w:rFonts w:ascii="Calibri" w:hAnsi="Calibri"/>
                <w:b/>
                <w:color w:val="30A46C"/>
                <w:sz w:val="22"/>
              </w:rPr>
              <w:t>Positive</w:t>
            </w:r>
          </w:p>
        </w:tc>
        <w:tc>
          <w:tcPr>
            <w:tcW w:type="dxa" w:w="1728"/>
          </w:tcPr>
          <w:p>
            <w:r>
              <w:rPr>
                <w:rFonts w:ascii="Calibri" w:hAnsi="Calibri"/>
                <w:sz w:val="22"/>
              </w:rPr>
              <w:t>Medium — structural/long-term read-through</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were identified for CEG in the period since the Q1 2026 earnings call (May 11, 2026 through August 5, 2026) based on available SEC Form 4 data. The absence of insider selling is a mild positive signal, and the company’s own share repurchase activity (~$335M deployed YTD as of the Q1 call) represents the most meaningful ‘insider’ signal — management buying back stock at prices they described as “compelling.”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open-market insider transactions identified (May 11 – Aug 5, 2026)</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Form 4 open-market buys (code P) or sales (code S) found in the query window. Source: SEC Form 4 Filings Database.</w:t>
            </w:r>
          </w:p>
        </w:tc>
      </w:tr>
    </w:tbl>
    <w:p>
      <w:r>
        <w:rPr>
          <w:rFonts w:ascii="Calibri" w:hAnsi="Calibri"/>
          <w:b/>
          <w:color w:val="525866"/>
          <w:sz w:val="22"/>
        </w:rPr>
        <w:t xml:space="preserve">Corporate Buyback as Insider Signal: </w:t>
      </w:r>
      <w:r>
        <w:rPr>
          <w:rFonts w:ascii="Calibri" w:hAnsi="Calibri"/>
          <w:color w:val="525866"/>
          <w:sz w:val="22"/>
        </w:rPr>
        <w:t>While no individual insider open-market transactions were identified, the company’s own share repurchase program is the most meaningful signal of management’s view on valuation. Management repurchased approximately 1.2 million shares shortly after the March 31 guidance call at prices they described as “compelling,” and has deployed ~$335M YTD under the $5.0B authorization ($4.7B remaining). With the stock now trading ~11% below the Q1 earnings date price, the buyback authorization provides significant capacity to continue repurchasing at what management would likely view as even more attractive levels. Source: CEG Q1 2026 Earnings Call (May 11,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