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CF Industries before writing the preview. Let me gather recent earnings materials, filings, and news.Let me read the most recent earnings materials and check for recent news and filings.Let me get recent news, press releases, and stock price data to round out the picture.Let me read the dividend increase press release and check recent sector/company news.I have what I need. Let me write the preview.</w:t>
      </w:r>
    </w:p>
    <w:bookmarkStart w:id="18" w:name="X811b25b7e9d9b0e0f974330c5df739e7dfdc22c"/>
    <w:p>
      <w:pPr>
        <w:pStyle w:val="Heading1"/>
      </w:pPr>
      <w:r>
        <w:t xml:space="preserve">CF Industries (CF) — Q2 2026 Earnings Preview</w:t>
      </w:r>
    </w:p>
    <w:p>
      <w:pPr>
        <w:pStyle w:val="FirstParagraph"/>
      </w:pPr>
      <w:r>
        <w:rPr>
          <w:b/>
          <w:bCs/>
        </w:rPr>
        <w:t xml:space="preserve">Report date:</w:t>
      </w:r>
      <w:r>
        <w:t xml:space="preserve"> </w:t>
      </w:r>
      <w:r>
        <w:t xml:space="preserve">Results after market close Wed, Aug 5, 2026 · Conference call Thu, Aug 6, 11:00 a.m. ET</w:t>
      </w:r>
      <w:r>
        <w:t xml:space="preserve"> </w:t>
      </w:r>
      <w:r>
        <w:rPr>
          <w:b/>
          <w:bCs/>
        </w:rPr>
        <w:t xml:space="preserve">Recent price:</w:t>
      </w:r>
      <w:r>
        <w:t xml:space="preserve"> </w:t>
      </w:r>
      <w:r>
        <w:t xml:space="preserve">~$118 (Aug 4) ·</w:t>
      </w:r>
      <w:r>
        <w:t xml:space="preserve"> </w:t>
      </w:r>
      <w:r>
        <w:rPr>
          <w:b/>
          <w:bCs/>
        </w:rPr>
        <w:t xml:space="preserve">YTD:</w:t>
      </w:r>
      <w:r>
        <w:t xml:space="preserve"> </w:t>
      </w:r>
      <w:r>
        <w:t xml:space="preserve">~+47% off a</w:t>
      </w:r>
      <w:r>
        <w:t xml:space="preserve"> </w:t>
      </w:r>
      <m:oMath>
        <m:r>
          <m:t>80</m:t>
        </m:r>
        <m:r>
          <m:t>s</m:t>
        </m:r>
        <m:r>
          <m:t>t</m:t>
        </m:r>
        <m:r>
          <m:t>a</m:t>
        </m:r>
        <m:r>
          <m:t>r</m:t>
        </m:r>
        <m:r>
          <m:t>t</m:t>
        </m:r>
        <m:r>
          <m:rPr>
            <m:sty m:val="p"/>
          </m:rPr>
          <m:t>,</m:t>
        </m:r>
        <m:r>
          <m:t>b</m:t>
        </m:r>
        <m:r>
          <m:t>u</m:t>
        </m:r>
        <m:r>
          <m:t>t</m:t>
        </m:r>
        <m:r>
          <m:t> </m:t>
        </m:r>
        <m:r>
          <m:t>14</m:t>
        </m:r>
      </m:oMath>
      <w:r>
        <w:t xml:space="preserve">137 mid-March peak</w:t>
      </w:r>
    </w:p>
    <w:p>
      <w:r>
        <w:pict>
          <v:rect style="width:0;height:1.5pt" o:hralign="center" o:hrstd="t" o:hr="t"/>
        </w:pict>
      </w:r>
    </w:p>
    <w:bookmarkStart w:id="9" w:name="the-one-line-setup"/>
    <w:p>
      <w:pPr>
        <w:pStyle w:val="Heading2"/>
      </w:pPr>
      <w:r>
        <w:t xml:space="preserve">The one-line setup</w:t>
      </w:r>
    </w:p>
    <w:p>
      <w:pPr>
        <w:pStyle w:val="FirstParagraph"/>
      </w:pPr>
      <w:r>
        <w:t xml:space="preserve">This is the print that should capture the</w:t>
      </w:r>
      <w:r>
        <w:t xml:space="preserve"> </w:t>
      </w:r>
      <w:r>
        <w:rPr>
          <w:i/>
          <w:iCs/>
        </w:rPr>
        <w:t xml:space="preserve">full-quarter</w:t>
      </w:r>
      <w:r>
        <w:t xml:space="preserve"> </w:t>
      </w:r>
      <w:r>
        <w:t xml:space="preserve">benefit of the Middle East supply shock. Q1 caught only the tail end of the Iran conflict/Strait of Hormuz disruption (late March), yet CF still put up</w:t>
      </w:r>
      <w:r>
        <w:t xml:space="preserve"> </w:t>
      </w:r>
      <m:oMath>
        <m:r>
          <m:t>983</m:t>
        </m:r>
        <m:r>
          <m:t>M</m:t>
        </m:r>
        <m:r>
          <m:t>a</m:t>
        </m:r>
        <m:r>
          <m:t>d</m:t>
        </m:r>
        <m:r>
          <m:t>j</m:t>
        </m:r>
        <m:r>
          <m:t>u</m:t>
        </m:r>
        <m:r>
          <m:t>s</m:t>
        </m:r>
        <m:r>
          <m:t>t</m:t>
        </m:r>
        <m:r>
          <m:t>e</m:t>
        </m:r>
        <m:r>
          <m:t>d</m:t>
        </m:r>
        <m:r>
          <m:t>E</m:t>
        </m:r>
        <m:r>
          <m:t>B</m:t>
        </m:r>
        <m:r>
          <m:t>I</m:t>
        </m:r>
        <m:r>
          <m:t>T</m:t>
        </m:r>
        <m:r>
          <m:t>D</m:t>
        </m:r>
        <m:r>
          <m:t>A</m:t>
        </m:r>
        <m:r>
          <m:rPr>
            <m:sty m:val="p"/>
          </m:rPr>
          <m:t>*</m:t>
        </m:r>
        <m:r>
          <m:rPr>
            <m:sty m:val="p"/>
          </m:rPr>
          <m:t>*</m:t>
        </m:r>
        <m:r>
          <m:t>a</m:t>
        </m:r>
        <m:r>
          <m:t>n</m:t>
        </m:r>
        <m:r>
          <m:t>d</m:t>
        </m:r>
        <m:r>
          <m:rPr>
            <m:sty m:val="p"/>
          </m:rPr>
          <m:t>*</m:t>
        </m:r>
        <m:r>
          <m:rPr>
            <m:sty m:val="p"/>
          </m:rPr>
          <m:t>*</m:t>
        </m:r>
      </m:oMath>
      <w:r>
        <w:rPr>
          <w:b/>
          <w:bCs/>
        </w:rPr>
        <w:t xml:space="preserve">3.98 EPS</w:t>
      </w:r>
      <w:r>
        <w:t xml:space="preserve"> </w:t>
      </w:r>
      <w:r>
        <w:t xml:space="preserve">(albeit aided by a ~$170M litigation gain). Q2 is CF's seasonally strongest quarter</w:t>
      </w:r>
      <w:r>
        <w:t xml:space="preserve"> </w:t>
      </w:r>
      <w:r>
        <w:rPr>
          <w:i/>
          <w:iCs/>
        </w:rPr>
        <w:t xml:space="preserve">and</w:t>
      </w:r>
      <w:r>
        <w:t xml:space="preserve"> </w:t>
      </w:r>
      <w:r>
        <w:t xml:space="preserve">the first to reflect both peak North American spring pricing and the post-shock spike in global nitrogen — while natural gas costs were collapsing. The key debate isn't whether Q2 was strong; it's how much of the geopolitical windfall shows up, and whether management can convince investors the tightness is durable into 2027 rather than a one-off.</w:t>
      </w:r>
    </w:p>
    <w:p>
      <w:r>
        <w:pict>
          <v:rect style="width:0;height:1.5pt" o:hralign="center" o:hrstd="t" o:hr="t"/>
        </w:pict>
      </w:r>
    </w:p>
    <w:bookmarkEnd w:id="9"/>
    <w:bookmarkStart w:id="15" w:name="what-to-watch"/>
    <w:p>
      <w:pPr>
        <w:pStyle w:val="Heading2"/>
      </w:pPr>
      <w:r>
        <w:t xml:space="preserve">What to watch</w:t>
      </w:r>
    </w:p>
    <w:bookmarkStart w:id="10" w:name="X4269008302a135260007eaf895324512250371d"/>
    <w:p>
      <w:pPr>
        <w:pStyle w:val="Heading3"/>
      </w:pPr>
      <w:r>
        <w:t xml:space="preserve">1. Price realization vs. the gas tailwind — the margin story</w:t>
      </w:r>
    </w:p>
    <w:p>
      <w:pPr>
        <w:pStyle w:val="Compact"/>
        <w:numPr>
          <w:ilvl w:val="0"/>
          <w:numId w:val="1001"/>
        </w:numPr>
      </w:pPr>
      <w:r>
        <w:t xml:space="preserve">Q1 realized natural gas averaged **</w:t>
      </w:r>
      <m:oMath>
        <m:r>
          <m:t>4.57</m:t>
        </m:r>
        <m:r>
          <m:rPr>
            <m:sty m:val="p"/>
          </m:rPr>
          <m:t>/</m:t>
        </m:r>
        <m:r>
          <m:t>M</m:t>
        </m:r>
        <m:r>
          <m:t>M</m:t>
        </m:r>
        <m:r>
          <m:t>B</m:t>
        </m:r>
        <m:r>
          <m:t>t</m:t>
        </m:r>
        <m:r>
          <m:t>u</m:t>
        </m:r>
        <m:r>
          <m:rPr>
            <m:sty m:val="p"/>
          </m:rPr>
          <m:t>*</m:t>
        </m:r>
        <m:r>
          <m:rPr>
            <m:sty m:val="p"/>
          </m:rPr>
          <m:t>*</m:t>
        </m:r>
        <m:r>
          <m:rPr>
            <m:sty m:val="p"/>
          </m:rPr>
          <m:t>,</m:t>
        </m:r>
        <m:r>
          <m:t>i</m:t>
        </m:r>
        <m:r>
          <m:t>n</m:t>
        </m:r>
        <m:r>
          <m:t>f</m:t>
        </m:r>
        <m:r>
          <m:t>l</m:t>
        </m:r>
        <m:r>
          <m:t>a</m:t>
        </m:r>
        <m:r>
          <m:t>t</m:t>
        </m:r>
        <m:r>
          <m:t>e</m:t>
        </m:r>
        <m:r>
          <m:t>d</m:t>
        </m:r>
        <m:r>
          <m:t>b</m:t>
        </m:r>
        <m:r>
          <m:t>y</m:t>
        </m:r>
        <m:r>
          <m:t>a</m:t>
        </m:r>
        <m:r>
          <m:t>J</m:t>
        </m:r>
        <m:r>
          <m:t>a</m:t>
        </m:r>
        <m:r>
          <m:t>n</m:t>
        </m:r>
        <m:r>
          <m:t>u</m:t>
        </m:r>
        <m:r>
          <m:t>a</m:t>
        </m:r>
        <m:r>
          <m:t>r</m:t>
        </m:r>
        <m:r>
          <m:t>y</m:t>
        </m:r>
        <m:r>
          <m:rPr>
            <m:sty m:val="p"/>
          </m:rPr>
          <m:t>–</m:t>
        </m:r>
        <m:r>
          <m:t>F</m:t>
        </m:r>
        <m:r>
          <m:t>e</m:t>
        </m:r>
        <m:r>
          <m:t>b</m:t>
        </m:r>
        <m:r>
          <m:t>r</m:t>
        </m:r>
        <m:r>
          <m:t>u</m:t>
        </m:r>
        <m:r>
          <m:t>a</m:t>
        </m:r>
        <m:r>
          <m:t>r</m:t>
        </m:r>
        <m:r>
          <m:t>y</m:t>
        </m:r>
        <m:r>
          <m:t>H</m:t>
        </m:r>
        <m:r>
          <m:t>e</m:t>
        </m:r>
        <m:r>
          <m:t>n</m:t>
        </m:r>
        <m:r>
          <m:t>r</m:t>
        </m:r>
        <m:r>
          <m:t>y</m:t>
        </m:r>
        <m:r>
          <m:t>H</m:t>
        </m:r>
        <m:r>
          <m:t>u</m:t>
        </m:r>
        <m:r>
          <m:t>b</m:t>
        </m:r>
        <m:r>
          <m:t>s</m:t>
        </m:r>
        <m:r>
          <m:t>p</m:t>
        </m:r>
        <m:r>
          <m:t>i</m:t>
        </m:r>
        <m:r>
          <m:t>k</m:t>
        </m:r>
        <m:r>
          <m:t>e</m:t>
        </m:r>
        <m:r>
          <m:rPr>
            <m:sty m:val="p"/>
          </m:rPr>
          <m:t>(</m:t>
        </m:r>
        <m:r>
          <m:t>F</m:t>
        </m:r>
        <m:r>
          <m:t>e</m:t>
        </m:r>
        <m:r>
          <m:t>b</m:t>
        </m:r>
        <m:r>
          <m:t>s</m:t>
        </m:r>
        <m:r>
          <m:t>e</m:t>
        </m:r>
        <m:r>
          <m:t>t</m:t>
        </m:r>
        <m:r>
          <m:t>t</m:t>
        </m:r>
        <m:r>
          <m:t>l</m:t>
        </m:r>
        <m:r>
          <m:t>e</m:t>
        </m:r>
        <m:r>
          <m:t>d</m:t>
        </m:r>
        <m:r>
          <m:rPr>
            <m:sty m:val="p"/>
          </m:rPr>
          <m:t>&gt;</m:t>
        </m:r>
      </m:oMath>
      <w:r>
        <w:t xml:space="preserve">7). Management guided the rest of 2026 to track the NYMEX strip, which was trading near **~</w:t>
      </w:r>
      <m:oMath>
        <m:r>
          <m:t>2.60</m:t>
        </m:r>
        <m:r>
          <m:rPr>
            <m:sty m:val="p"/>
          </m:rPr>
          <m:t>*</m:t>
        </m:r>
        <m:r>
          <m:rPr>
            <m:sty m:val="p"/>
          </m:rPr>
          <m:t>*</m:t>
        </m:r>
        <m:r>
          <m:t>a</m:t>
        </m:r>
        <m:r>
          <m:t>t</m:t>
        </m:r>
        <m:r>
          <m:t>t</m:t>
        </m:r>
        <m:r>
          <m:t>h</m:t>
        </m:r>
        <m:r>
          <m:t>e</m:t>
        </m:r>
        <m:r>
          <m:t>Q</m:t>
        </m:r>
        <m:r>
          <m:t>1</m:t>
        </m:r>
        <m:r>
          <m:t>c</m:t>
        </m:r>
        <m:r>
          <m:t>a</m:t>
        </m:r>
        <m:r>
          <m:t>l</m:t>
        </m:r>
        <m:r>
          <m:t>l</m:t>
        </m:r>
        <m:r>
          <m:rPr>
            <m:sty m:val="p"/>
          </m:rPr>
          <m:t>.</m:t>
        </m:r>
        <m:r>
          <m:t>A</m:t>
        </m:r>
        <m:r>
          <m:t>f</m:t>
        </m:r>
        <m:r>
          <m:t>u</m:t>
        </m:r>
        <m:r>
          <m:t>l</m:t>
        </m:r>
        <m:r>
          <m:t>l</m:t>
        </m:r>
        <m:r>
          <m:t>q</m:t>
        </m:r>
        <m:r>
          <m:t>u</m:t>
        </m:r>
        <m:r>
          <m:t>a</m:t>
        </m:r>
        <m:r>
          <m:t>r</m:t>
        </m:r>
        <m:r>
          <m:t>t</m:t>
        </m:r>
        <m:r>
          <m:t>e</m:t>
        </m:r>
        <m:r>
          <m:t>r</m:t>
        </m:r>
        <m:r>
          <m:t>o</m:t>
        </m:r>
        <m:r>
          <m:t>f</m:t>
        </m:r>
        <m:r>
          <m:t>s</m:t>
        </m:r>
        <m:r>
          <m:t>u</m:t>
        </m:r>
        <m:r>
          <m:t>b</m:t>
        </m:r>
        <m:r>
          <m:rPr>
            <m:sty m:val="p"/>
          </m:rPr>
          <m:t>−</m:t>
        </m:r>
      </m:oMath>
      <w:r>
        <w:t xml:space="preserve">3 gas layered on top of elevated selling prices is the recipe for a big sequential margin step-up.</w:t>
      </w:r>
    </w:p>
    <w:p>
      <w:pPr>
        <w:pStyle w:val="Compact"/>
        <w:numPr>
          <w:ilvl w:val="0"/>
          <w:numId w:val="1001"/>
        </w:numPr>
      </w:pPr>
      <w:r>
        <w:t xml:space="preserve">On pricing, management flagged a striking bifurcation heading into Q2: U.S. NOLA urea was the</w:t>
      </w:r>
      <w:r>
        <w:t xml:space="preserve"> </w:t>
      </w:r>
      <w:r>
        <w:rPr>
          <w:b/>
          <w:bCs/>
        </w:rPr>
        <w:t xml:space="preserve">cheapest market in the world</w:t>
      </w:r>
      <w:r>
        <w:t xml:space="preserve"> </w:t>
      </w:r>
      <w:r>
        <w:t xml:space="preserve">(~</w:t>
      </w:r>
      <m:oMath>
        <m:r>
          <m:t>600</m:t>
        </m:r>
        <m:r>
          <m:rPr>
            <m:sty m:val="p"/>
          </m:rPr>
          <m:t>/</m:t>
        </m:r>
        <m:r>
          <m:t>s</m:t>
        </m:r>
        <m:r>
          <m:t>h</m:t>
        </m:r>
        <m:r>
          <m:t>o</m:t>
        </m:r>
        <m:r>
          <m:t>r</m:t>
        </m:r>
        <m:r>
          <m:t>t</m:t>
        </m:r>
        <m:r>
          <m:t>t</m:t>
        </m:r>
        <m:r>
          <m:t>o</m:t>
        </m:r>
        <m:r>
          <m:t>n</m:t>
        </m:r>
        <m:r>
          <m:rPr>
            <m:sty m:val="p"/>
          </m:rPr>
          <m:t>)</m:t>
        </m:r>
        <m:r>
          <m:t>v</m:t>
        </m:r>
        <m:r>
          <m:t>e</m:t>
        </m:r>
        <m:r>
          <m:t>r</m:t>
        </m:r>
        <m:r>
          <m:t>s</m:t>
        </m:r>
        <m:r>
          <m:t>u</m:t>
        </m:r>
        <m:r>
          <m:t>s</m:t>
        </m:r>
        <m:r>
          <m:t>N</m:t>
        </m:r>
        <m:r>
          <m:t>o</m:t>
        </m:r>
        <m:r>
          <m:t>r</m:t>
        </m:r>
        <m:r>
          <m:t>t</m:t>
        </m:r>
        <m:r>
          <m:t>h</m:t>
        </m:r>
        <m:r>
          <m:t>A</m:t>
        </m:r>
        <m:r>
          <m:t>f</m:t>
        </m:r>
        <m:r>
          <m:t>r</m:t>
        </m:r>
        <m:r>
          <m:t>i</m:t>
        </m:r>
        <m:r>
          <m:t>c</m:t>
        </m:r>
        <m:r>
          <m:t>a</m:t>
        </m:r>
        <m:r>
          <m:rPr>
            <m:sty m:val="p"/>
          </m:rPr>
          <m:t>&gt;</m:t>
        </m:r>
      </m:oMath>
      <w:r>
        <w:t xml:space="preserve">800/mt. Watch whether NOLA "equalized" upward toward world prices through the quarter (Bert Frost's expectation) — that's the upside lever — versus post-spring inventory liquidation capping domestic realizations.</w:t>
      </w:r>
    </w:p>
    <w:p>
      <w:pPr>
        <w:pStyle w:val="Compact"/>
        <w:numPr>
          <w:ilvl w:val="0"/>
          <w:numId w:val="1001"/>
        </w:numPr>
      </w:pPr>
      <w:r>
        <w:t xml:space="preserve">Q1 segment margins were already robust: granular urea adj. gross margin</w:t>
      </w:r>
      <w:r>
        <w:t xml:space="preserve"> </w:t>
      </w:r>
      <w:r>
        <w:rPr>
          <w:b/>
          <w:bCs/>
        </w:rPr>
        <w:t xml:space="preserve">56%</w:t>
      </w:r>
      <w:r>
        <w:t xml:space="preserve">, UAN</w:t>
      </w:r>
      <w:r>
        <w:t xml:space="preserve"> </w:t>
      </w:r>
      <w:r>
        <w:rPr>
          <w:b/>
          <w:bCs/>
        </w:rPr>
        <w:t xml:space="preserve">54%</w:t>
      </w:r>
      <w:r>
        <w:t xml:space="preserve"> </w:t>
      </w:r>
      <w:r>
        <w:t xml:space="preserve">(UAN gross margin/ton nearly doubled YoY). The bar for Q2 is high.</w:t>
      </w:r>
    </w:p>
    <w:bookmarkEnd w:id="10"/>
    <w:bookmarkStart w:id="11" w:name="Xec394abac565338caeef287bf199b489becbdf3"/>
    <w:p>
      <w:pPr>
        <w:pStyle w:val="Heading3"/>
      </w:pPr>
      <w:r>
        <w:t xml:space="preserve">2. Yazoo City outage — the volume/cost drag</w:t>
      </w:r>
    </w:p>
    <w:p>
      <w:pPr>
        <w:pStyle w:val="Compact"/>
        <w:numPr>
          <w:ilvl w:val="0"/>
          <w:numId w:val="1002"/>
        </w:numPr>
      </w:pPr>
      <w:r>
        <w:t xml:space="preserve">An incident in November 2025 knocked out the Yazoo City complex; management does</w:t>
      </w:r>
      <w:r>
        <w:t xml:space="preserve"> </w:t>
      </w:r>
      <w:r>
        <w:rPr>
          <w:b/>
          <w:bCs/>
        </w:rPr>
        <w:t xml:space="preserve">not</w:t>
      </w:r>
      <w:r>
        <w:t xml:space="preserve"> </w:t>
      </w:r>
      <w:r>
        <w:t xml:space="preserve">expect production to resume until</w:t>
      </w:r>
      <w:r>
        <w:t xml:space="preserve"> </w:t>
      </w:r>
      <w:r>
        <w:rPr>
          <w:b/>
          <w:bCs/>
        </w:rPr>
        <w:t xml:space="preserve">late Q4 2026 at the earliest</w:t>
      </w:r>
      <w:r>
        <w:t xml:space="preserve">, and cut full-year gross ammonia guidance to</w:t>
      </w:r>
      <w:r>
        <w:t xml:space="preserve"> </w:t>
      </w:r>
      <w:r>
        <w:rPr>
          <w:b/>
          <w:bCs/>
        </w:rPr>
        <w:t xml:space="preserve">~9.5M tons</w:t>
      </w:r>
      <w:r>
        <w:t xml:space="preserve">.</w:t>
      </w:r>
    </w:p>
    <w:p>
      <w:pPr>
        <w:pStyle w:val="Compact"/>
        <w:numPr>
          <w:ilvl w:val="0"/>
          <w:numId w:val="1002"/>
        </w:numPr>
      </w:pPr>
      <w:r>
        <w:t xml:space="preserve">This is why the AN and "Other" (DEF) segments are hurting — AN swung to a</w:t>
      </w:r>
      <w:r>
        <w:t xml:space="preserve"> </w:t>
      </w:r>
      <w:r>
        <w:rPr>
          <w:b/>
          <w:bCs/>
        </w:rPr>
        <w:t xml:space="preserve">negative gross margin</w:t>
      </w:r>
      <w:r>
        <w:t xml:space="preserve"> </w:t>
      </w:r>
      <w:r>
        <w:t xml:space="preserve">in Q1. Expect continued lost volume/absorption cost headwind in Q2. Any update on the equipment fabrication/restart timeline matters for the 2027 setup.</w:t>
      </w:r>
    </w:p>
    <w:p>
      <w:pPr>
        <w:pStyle w:val="Compact"/>
        <w:numPr>
          <w:ilvl w:val="0"/>
          <w:numId w:val="1002"/>
        </w:numPr>
      </w:pPr>
      <w:r>
        <w:t xml:space="preserve">Offsets to watch: the temporary Donaldsonville turnaround delay (~100k extra urea tons) and rail repurposing to move product into the Corn Belt.</w:t>
      </w:r>
    </w:p>
    <w:bookmarkEnd w:id="11"/>
    <w:bookmarkStart w:id="12" w:name="Xee4a6259dcae5a2f11b7a5939beec43d96976fe"/>
    <w:p>
      <w:pPr>
        <w:pStyle w:val="Heading3"/>
      </w:pPr>
      <w:r>
        <w:t xml:space="preserve">3. Capital returns — the confidence signal is already out</w:t>
      </w:r>
    </w:p>
    <w:p>
      <w:pPr>
        <w:pStyle w:val="Compact"/>
        <w:numPr>
          <w:ilvl w:val="0"/>
          <w:numId w:val="1003"/>
        </w:numPr>
      </w:pPr>
      <w:r>
        <w:t xml:space="preserve">On</w:t>
      </w:r>
      <w:r>
        <w:t xml:space="preserve"> </w:t>
      </w:r>
      <w:r>
        <w:rPr>
          <w:b/>
          <w:bCs/>
        </w:rPr>
        <w:t xml:space="preserve">July 8, CF raised the quarterly dividend 20% to $0.60/share</w:t>
      </w:r>
      <w:r>
        <w:t xml:space="preserve"> </w:t>
      </w:r>
      <w:r>
        <w:t xml:space="preserve">— a clear statement of confidence in the free-cash-flow outlook ahead of the print.</w:t>
      </w:r>
    </w:p>
    <w:p>
      <w:pPr>
        <w:pStyle w:val="Compact"/>
        <w:numPr>
          <w:ilvl w:val="0"/>
          <w:numId w:val="1003"/>
        </w:numPr>
      </w:pPr>
      <w:r>
        <w:t xml:space="preserve">The buyback, however, is the show-me item. CF bought back only</w:t>
      </w:r>
      <w:r>
        <w:t xml:space="preserve"> </w:t>
      </w:r>
      <w:r>
        <w:rPr>
          <w:b/>
          <w:bCs/>
        </w:rPr>
        <w:t xml:space="preserve">~</w:t>
      </w:r>
      <m:oMath>
        <m:r>
          <m:t>15</m:t>
        </m:r>
        <m:r>
          <m:t>M</m:t>
        </m:r>
        <m:r>
          <m:rPr>
            <m:sty m:val="p"/>
          </m:rPr>
          <m:t>*</m:t>
        </m:r>
        <m:r>
          <m:rPr>
            <m:sty m:val="p"/>
          </m:rPr>
          <m:t>*</m:t>
        </m:r>
        <m:r>
          <m:t>i</m:t>
        </m:r>
        <m:r>
          <m:t>n</m:t>
        </m:r>
        <m:r>
          <m:t>Q</m:t>
        </m:r>
        <m:r>
          <m:t>1</m:t>
        </m:r>
        <m:r>
          <m:rPr>
            <m:sty m:val="p"/>
          </m:rPr>
          <m:t>(</m:t>
        </m:r>
        <m:r>
          <m:t>t</m:t>
        </m:r>
        <m:r>
          <m:t>h</m:t>
        </m:r>
        <m:r>
          <m:t>e</m:t>
        </m:r>
        <m:r>
          <m:t>y</m:t>
        </m:r>
        <m:r>
          <m:t>s</m:t>
        </m:r>
        <m:r>
          <m:t>a</m:t>
        </m:r>
        <m:r>
          <m:t>t</m:t>
        </m:r>
        <m:r>
          <m:t>o</m:t>
        </m:r>
        <m:r>
          <m:t>u</m:t>
        </m:r>
        <m:r>
          <m:t>t</m:t>
        </m:r>
        <m:r>
          <m:t>a</m:t>
        </m:r>
        <m:r>
          <m:t>m</m:t>
        </m:r>
        <m:r>
          <m:t>i</m:t>
        </m:r>
        <m:r>
          <m:t>d</m:t>
        </m:r>
        <m:r>
          <m:t>c</m:t>
        </m:r>
        <m:r>
          <m:t>o</m:t>
        </m:r>
        <m:r>
          <m:t>n</m:t>
        </m:r>
        <m:r>
          <m:t>f</m:t>
        </m:r>
        <m:r>
          <m:t>l</m:t>
        </m:r>
        <m:r>
          <m:t>i</m:t>
        </m:r>
        <m:r>
          <m:t>c</m:t>
        </m:r>
        <m:r>
          <m:t>t</m:t>
        </m:r>
        <m:r>
          <m:t>u</m:t>
        </m:r>
        <m:r>
          <m:t>n</m:t>
        </m:r>
        <m:r>
          <m:t>c</m:t>
        </m:r>
        <m:r>
          <m:t>e</m:t>
        </m:r>
        <m:r>
          <m:t>r</m:t>
        </m:r>
        <m:r>
          <m:t>t</m:t>
        </m:r>
        <m:r>
          <m:t>a</m:t>
        </m:r>
        <m:r>
          <m:t>i</m:t>
        </m:r>
        <m:r>
          <m:t>n</m:t>
        </m:r>
        <m:r>
          <m:t>t</m:t>
        </m:r>
        <m:r>
          <m:t>y</m:t>
        </m:r>
        <m:r>
          <m:rPr>
            <m:sty m:val="p"/>
          </m:rPr>
          <m:t>)</m:t>
        </m:r>
        <m:r>
          <m:rPr>
            <m:sty m:val="p"/>
          </m:rPr>
          <m:t>,</m:t>
        </m:r>
        <m:r>
          <m:t>l</m:t>
        </m:r>
        <m:r>
          <m:t>e</m:t>
        </m:r>
        <m:r>
          <m:t>a</m:t>
        </m:r>
        <m:r>
          <m:t>v</m:t>
        </m:r>
        <m:r>
          <m:t>i</m:t>
        </m:r>
        <m:r>
          <m:t>n</m:t>
        </m:r>
        <m:r>
          <m:t>g</m:t>
        </m:r>
        <m:r>
          <m:rPr>
            <m:sty m:val="p"/>
          </m:rPr>
          <m:t>*</m:t>
        </m:r>
        <m:r>
          <m:rPr>
            <m:sty m:val="p"/>
          </m:rPr>
          <m:t>*</m:t>
        </m:r>
        <m:r>
          <m:t> </m:t>
        </m:r>
      </m:oMath>
      <w:r>
        <w:rPr>
          <w:b/>
          <w:bCs/>
        </w:rPr>
        <w:t xml:space="preserve">1.7B</w:t>
      </w:r>
      <w:r>
        <w:t xml:space="preserve"> </w:t>
      </w:r>
      <w:r>
        <w:t xml:space="preserve">on the</w:t>
      </w:r>
      <w:r>
        <w:t xml:space="preserve"> </w:t>
      </w:r>
      <m:oMath>
        <m:r>
          <m:t>2</m:t>
        </m:r>
        <m:r>
          <m:t>B</m:t>
        </m:r>
        <m:r>
          <m:t>a</m:t>
        </m:r>
        <m:r>
          <m:t>u</m:t>
        </m:r>
        <m:r>
          <m:t>t</m:t>
        </m:r>
        <m:r>
          <m:t>h</m:t>
        </m:r>
        <m:r>
          <m:t>o</m:t>
        </m:r>
        <m:r>
          <m:t>r</m:t>
        </m:r>
        <m:r>
          <m:t>i</m:t>
        </m:r>
        <m:r>
          <m:t>z</m:t>
        </m:r>
        <m:r>
          <m:t>a</m:t>
        </m:r>
        <m:r>
          <m:t>t</m:t>
        </m:r>
        <m:r>
          <m:t>i</m:t>
        </m:r>
        <m:r>
          <m:t>o</m:t>
        </m:r>
        <m:r>
          <m:t>n</m:t>
        </m:r>
        <m:r>
          <m:t>t</m:t>
        </m:r>
        <m:r>
          <m:t>h</m:t>
        </m:r>
        <m:r>
          <m:t>a</m:t>
        </m:r>
        <m:r>
          <m:t>t</m:t>
        </m:r>
        <m:r>
          <m:t>r</m:t>
        </m:r>
        <m:r>
          <m:t>u</m:t>
        </m:r>
        <m:r>
          <m:t>n</m:t>
        </m:r>
        <m:r>
          <m:t>s</m:t>
        </m:r>
        <m:r>
          <m:t>t</m:t>
        </m:r>
        <m:r>
          <m:t>h</m:t>
        </m:r>
        <m:r>
          <m:t>r</m:t>
        </m:r>
        <m:r>
          <m:t>o</m:t>
        </m:r>
        <m:r>
          <m:t>u</m:t>
        </m:r>
        <m:r>
          <m:t>g</m:t>
        </m:r>
        <m:r>
          <m:t>h</m:t>
        </m:r>
        <m:r>
          <m:t>D</m:t>
        </m:r>
        <m:r>
          <m:t>e</m:t>
        </m:r>
        <m:r>
          <m:t>c</m:t>
        </m:r>
        <m:r>
          <m:t>2029</m:t>
        </m:r>
        <m:r>
          <m:rPr>
            <m:sty m:val="p"/>
          </m:rPr>
          <m:t>.</m:t>
        </m:r>
        <m:r>
          <m:t>M</m:t>
        </m:r>
        <m:r>
          <m:t>a</m:t>
        </m:r>
        <m:r>
          <m:t>n</m:t>
        </m:r>
        <m:r>
          <m:t>a</m:t>
        </m:r>
        <m:r>
          <m:t>g</m:t>
        </m:r>
        <m:r>
          <m:t>e</m:t>
        </m:r>
        <m:r>
          <m:t>m</m:t>
        </m:r>
        <m:r>
          <m:t>e</m:t>
        </m:r>
        <m:r>
          <m:t>n</m:t>
        </m:r>
        <m:r>
          <m:t>t</m:t>
        </m:r>
        <m:r>
          <m:t>e</m:t>
        </m:r>
        <m:r>
          <m:t>x</m:t>
        </m:r>
        <m:r>
          <m:t>p</m:t>
        </m:r>
        <m:r>
          <m:t>l</m:t>
        </m:r>
        <m:r>
          <m:t>i</m:t>
        </m:r>
        <m:r>
          <m:t>c</m:t>
        </m:r>
        <m:r>
          <m:t>i</m:t>
        </m:r>
        <m:r>
          <m:t>t</m:t>
        </m:r>
        <m:r>
          <m:t>l</m:t>
        </m:r>
        <m:r>
          <m:t>y</m:t>
        </m:r>
        <m:r>
          <m:t>s</m:t>
        </m:r>
        <m:r>
          <m:t>a</m:t>
        </m:r>
        <m:r>
          <m:t>i</m:t>
        </m:r>
        <m:r>
          <m:t>d</m:t>
        </m:r>
        <m:r>
          <m:t>s</m:t>
        </m:r>
        <m:r>
          <m:t>h</m:t>
        </m:r>
        <m:r>
          <m:t>a</m:t>
        </m:r>
        <m:r>
          <m:t>r</m:t>
        </m:r>
        <m:r>
          <m:t>e</m:t>
        </m:r>
        <m:r>
          <m:t>s</m:t>
        </m:r>
        <m:r>
          <m:t>t</m:t>
        </m:r>
        <m:r>
          <m:t>r</m:t>
        </m:r>
        <m:r>
          <m:t>a</m:t>
        </m:r>
        <m:r>
          <m:t>d</m:t>
        </m:r>
        <m:r>
          <m:t>e</m:t>
        </m:r>
        <m:r>
          <m:t>b</m:t>
        </m:r>
        <m:r>
          <m:t>e</m:t>
        </m:r>
        <m:r>
          <m:t>l</m:t>
        </m:r>
        <m:r>
          <m:t>o</m:t>
        </m:r>
        <m:r>
          <m:t>w</m:t>
        </m:r>
        <m:r>
          <m:t>i</m:t>
        </m:r>
        <m:r>
          <m:t>n</m:t>
        </m:r>
        <m:r>
          <m:t>t</m:t>
        </m:r>
        <m:r>
          <m:t>r</m:t>
        </m:r>
        <m:r>
          <m:t>i</m:t>
        </m:r>
        <m:r>
          <m:t>n</m:t>
        </m:r>
        <m:r>
          <m:t>s</m:t>
        </m:r>
        <m:r>
          <m:t>i</m:t>
        </m:r>
        <m:r>
          <m:t>c</m:t>
        </m:r>
        <m:r>
          <m:t>v</m:t>
        </m:r>
        <m:r>
          <m:t>a</m:t>
        </m:r>
        <m:r>
          <m:t>l</m:t>
        </m:r>
        <m:r>
          <m:t>u</m:t>
        </m:r>
        <m:r>
          <m:t>e</m:t>
        </m:r>
        <m:r>
          <m:t>a</m:t>
        </m:r>
        <m:r>
          <m:t>n</m:t>
        </m:r>
        <m:r>
          <m:t>d</m:t>
        </m:r>
        <m:r>
          <m:t>p</m:t>
        </m:r>
        <m:r>
          <m:t>l</m:t>
        </m:r>
        <m:r>
          <m:t>e</m:t>
        </m:r>
        <m:r>
          <m:t>d</m:t>
        </m:r>
        <m:r>
          <m:t>g</m:t>
        </m:r>
        <m:r>
          <m:t>e</m:t>
        </m:r>
        <m:r>
          <m:t>d</m:t>
        </m:r>
        <m:r>
          <m:t>t</m:t>
        </m:r>
        <m:r>
          <m:t>o</m:t>
        </m:r>
        <m:r>
          <m:t>e</m:t>
        </m:r>
        <m:r>
          <m:t>x</m:t>
        </m:r>
        <m:r>
          <m:t>e</m:t>
        </m:r>
        <m:r>
          <m:t>c</m:t>
        </m:r>
        <m:r>
          <m:t>u</m:t>
        </m:r>
        <m:r>
          <m:t>t</m:t>
        </m:r>
        <m:r>
          <m:t>e</m:t>
        </m:r>
        <m:r>
          <m:t>t</m:t>
        </m:r>
        <m:r>
          <m:t>h</m:t>
        </m:r>
        <m:r>
          <m:t>e</m:t>
        </m:r>
        <m:r>
          <m:t>f</m:t>
        </m:r>
        <m:r>
          <m:t>u</m:t>
        </m:r>
        <m:r>
          <m:t>l</m:t>
        </m:r>
        <m:r>
          <m:t>l</m:t>
        </m:r>
        <m:r>
          <m:t>a</m:t>
        </m:r>
        <m:r>
          <m:t>u</m:t>
        </m:r>
        <m:r>
          <m:t>t</m:t>
        </m:r>
        <m:r>
          <m:t>h</m:t>
        </m:r>
        <m:r>
          <m:t>o</m:t>
        </m:r>
        <m:r>
          <m:t>r</m:t>
        </m:r>
        <m:r>
          <m:t>i</m:t>
        </m:r>
        <m:r>
          <m:t>z</m:t>
        </m:r>
        <m:r>
          <m:t>a</m:t>
        </m:r>
        <m:r>
          <m:t>t</m:t>
        </m:r>
        <m:r>
          <m:t>i</m:t>
        </m:r>
        <m:r>
          <m:t>o</m:t>
        </m:r>
        <m:r>
          <m:t>n</m:t>
        </m:r>
        <m:r>
          <m:rPr>
            <m:sty m:val="p"/>
          </m:rPr>
          <m:t>.</m:t>
        </m:r>
        <m:r>
          <m:t>W</m:t>
        </m:r>
        <m:r>
          <m:t>i</m:t>
        </m:r>
        <m:r>
          <m:t>t</m:t>
        </m:r>
        <m:r>
          <m:t>h</m:t>
        </m:r>
        <m:r>
          <m:t>T</m:t>
        </m:r>
        <m:r>
          <m:t>T</m:t>
        </m:r>
        <m:r>
          <m:t>M</m:t>
        </m:r>
        <m:r>
          <m:t>F</m:t>
        </m:r>
        <m:r>
          <m:t>C</m:t>
        </m:r>
        <m:r>
          <m:t>F</m:t>
        </m:r>
        <m:r>
          <m:t>o</m:t>
        </m:r>
        <m:r>
          <m:t>f</m:t>
        </m:r>
        <m:r>
          <m:rPr>
            <m:sty m:val="p"/>
          </m:rPr>
          <m:t>*</m:t>
        </m:r>
        <m:r>
          <m:rPr>
            <m:sty m:val="p"/>
          </m:rPr>
          <m:t>*</m:t>
        </m:r>
        <m:r>
          <m:t> </m:t>
        </m:r>
      </m:oMath>
      <w:r>
        <w:t xml:space="preserve">1.65B** and $2.0B cash, watch for a meaningful re-acceleration of repurchases in Q2 — its absence would disappoint.</w:t>
      </w:r>
    </w:p>
    <w:bookmarkEnd w:id="12"/>
    <w:bookmarkStart w:id="13" w:name="Xf02bd171ab9e8e3b02bcec0079a2f2c652e1e1a"/>
    <w:p>
      <w:pPr>
        <w:pStyle w:val="Heading3"/>
      </w:pPr>
      <w:r>
        <w:t xml:space="preserve">4. Forward outlook — is the tightness structural?</w:t>
      </w:r>
    </w:p>
    <w:p>
      <w:pPr>
        <w:pStyle w:val="FirstParagraph"/>
      </w:pPr>
      <w:r>
        <w:t xml:space="preserve">This is where the stock is really traded. Management's thesis: the Iran conflict is the third major nitrogen supply shock in six years and structurally lifts mid-cycle economics ("the CF premium"). Key data points to update:</w:t>
      </w:r>
    </w:p>
    <w:p>
      <w:pPr>
        <w:pStyle w:val="Compact"/>
        <w:numPr>
          <w:ilvl w:val="0"/>
          <w:numId w:val="1004"/>
        </w:numPr>
      </w:pPr>
      <w:r>
        <w:rPr>
          <w:b/>
          <w:bCs/>
        </w:rPr>
        <w:t xml:space="preserve">China exports</w:t>
      </w:r>
      <w:r>
        <w:t xml:space="preserve"> </w:t>
      </w:r>
      <w:r>
        <w:t xml:space="preserve">— expected to restart on a limited basis late Q2; the market needs "all of China and more" to balance, per Frost.</w:t>
      </w:r>
    </w:p>
    <w:p>
      <w:pPr>
        <w:pStyle w:val="Compact"/>
        <w:numPr>
          <w:ilvl w:val="0"/>
          <w:numId w:val="1004"/>
        </w:numPr>
      </w:pPr>
      <w:r>
        <w:rPr>
          <w:b/>
          <w:bCs/>
        </w:rPr>
        <w:t xml:space="preserve">India</w:t>
      </w:r>
      <w:r>
        <w:t xml:space="preserve"> </w:t>
      </w:r>
      <w:r>
        <w:t xml:space="preserve">— potential</w:t>
      </w:r>
      <w:r>
        <w:t xml:space="preserve"> </w:t>
      </w:r>
      <w:r>
        <w:rPr>
          <w:b/>
          <w:bCs/>
        </w:rPr>
        <w:t xml:space="preserve">10–12M mt</w:t>
      </w:r>
      <w:r>
        <w:t xml:space="preserve"> </w:t>
      </w:r>
      <w:r>
        <w:t xml:space="preserve">of urea imports in 2026 (near double 2024); watch tender cadence/pricing.</w:t>
      </w:r>
    </w:p>
    <w:p>
      <w:pPr>
        <w:pStyle w:val="Compact"/>
        <w:numPr>
          <w:ilvl w:val="0"/>
          <w:numId w:val="1004"/>
        </w:numPr>
      </w:pPr>
      <w:r>
        <w:rPr>
          <w:b/>
          <w:bCs/>
        </w:rPr>
        <w:t xml:space="preserve">Egypt's ~$90/mt export duty, Russia restrictions</w:t>
      </w:r>
      <w:r>
        <w:t xml:space="preserve">, and ongoing LNG-driven curtailments in India/Pakistan/Bangladesh.</w:t>
      </w:r>
    </w:p>
    <w:p>
      <w:pPr>
        <w:pStyle w:val="Compact"/>
        <w:numPr>
          <w:ilvl w:val="0"/>
          <w:numId w:val="1004"/>
        </w:numPr>
      </w:pPr>
      <w:r>
        <w:t xml:space="preserve">Management's claim that the market stays tight through 2026</w:t>
      </w:r>
      <w:r>
        <w:t xml:space="preserve"> </w:t>
      </w:r>
      <w:r>
        <w:rPr>
          <w:b/>
          <w:bCs/>
        </w:rPr>
        <w:t xml:space="preserve">and into 2027</w:t>
      </w:r>
      <w:r>
        <w:t xml:space="preserve"> </w:t>
      </w:r>
      <w:r>
        <w:t xml:space="preserve">is the linchpin for the bull case. Any softening in that language would be a red flag given the stock's June pullback to ~$105.</w:t>
      </w:r>
    </w:p>
    <w:bookmarkEnd w:id="13"/>
    <w:bookmarkStart w:id="14" w:name="X92e9bc8c35d0356984643f2cff1e68ba7d5cb38"/>
    <w:p>
      <w:pPr>
        <w:pStyle w:val="Heading3"/>
      </w:pPr>
      <w:r>
        <w:t xml:space="preserve">5. Blue Point growth project</w:t>
      </w:r>
    </w:p>
    <w:p>
      <w:pPr>
        <w:pStyle w:val="Compact"/>
        <w:numPr>
          <w:ilvl w:val="0"/>
          <w:numId w:val="1005"/>
        </w:numPr>
      </w:pPr>
      <m:oMath>
        <m:r>
          <m:t>1.3</m:t>
        </m:r>
        <m:r>
          <m:t>B</m:t>
        </m:r>
        <m:r>
          <m:t>c</m:t>
        </m:r>
        <m:r>
          <m:t>o</m:t>
        </m:r>
        <m:r>
          <m:t>n</m:t>
        </m:r>
        <m:r>
          <m:t>s</m:t>
        </m:r>
        <m:r>
          <m:t>o</m:t>
        </m:r>
        <m:r>
          <m:t>l</m:t>
        </m:r>
        <m:r>
          <m:t>i</m:t>
        </m:r>
        <m:r>
          <m:t>d</m:t>
        </m:r>
        <m:r>
          <m:t>a</m:t>
        </m:r>
        <m:r>
          <m:t>t</m:t>
        </m:r>
        <m:r>
          <m:t>e</m:t>
        </m:r>
        <m:r>
          <m:t>d</m:t>
        </m:r>
        <m:r>
          <m:t>2026</m:t>
        </m:r>
        <m:r>
          <m:t>c</m:t>
        </m:r>
        <m:r>
          <m:t>a</m:t>
        </m:r>
        <m:r>
          <m:t>p</m:t>
        </m:r>
        <m:r>
          <m:t>e</m:t>
        </m:r>
        <m:r>
          <m:t>x</m:t>
        </m:r>
        <m:r>
          <m:rPr>
            <m:sty m:val="p"/>
          </m:rPr>
          <m:t>(</m:t>
        </m:r>
        <m:r>
          <m:t> </m:t>
        </m:r>
      </m:oMath>
      <w:r>
        <w:t xml:space="preserve">950M CF net). Watch for confirmation that</w:t>
      </w:r>
      <w:r>
        <w:t xml:space="preserve"> </w:t>
      </w:r>
      <w:r>
        <w:rPr>
          <w:b/>
          <w:bCs/>
        </w:rPr>
        <w:t xml:space="preserve">civil construction started</w:t>
      </w:r>
      <w:r>
        <w:t xml:space="preserve"> </w:t>
      </w:r>
      <w:r>
        <w:t xml:space="preserve">(pending permits) at the Modeste, LA ATR ammonia plant (&gt;1.5M tons, ~95%+ decarbonized, online</w:t>
      </w:r>
      <w:r>
        <w:t xml:space="preserve"> </w:t>
      </w:r>
      <w:r>
        <w:rPr>
          <w:b/>
          <w:bCs/>
        </w:rPr>
        <w:t xml:space="preserve">late 2029</w:t>
      </w:r>
      <w:r>
        <w:t xml:space="preserve">). Also listen for any hints on</w:t>
      </w:r>
      <w:r>
        <w:t xml:space="preserve"> </w:t>
      </w:r>
      <w:r>
        <w:rPr>
          <w:b/>
          <w:bCs/>
        </w:rPr>
        <w:t xml:space="preserve">Blue Point #2</w:t>
      </w:r>
      <w:r>
        <w:t xml:space="preserve"> </w:t>
      </w:r>
      <w:r>
        <w:t xml:space="preserve">— management has signaled higher return profiles but wants answers on unit #1 first.</w:t>
      </w:r>
    </w:p>
    <w:p>
      <w:pPr>
        <w:pStyle w:val="Compact"/>
        <w:numPr>
          <w:ilvl w:val="0"/>
          <w:numId w:val="1005"/>
        </w:numPr>
      </w:pPr>
      <w:r>
        <w:t xml:space="preserve">Low-carbon commercialization (PepsiCo/Frito-Lay UAN, ExxonMobil CCS at Yazoo City targeting 2028, 45Q credits) is an incremental margin/premium story worth tracking.</w:t>
      </w:r>
    </w:p>
    <w:p>
      <w:r>
        <w:pict>
          <v:rect style="width:0;height:1.5pt" o:hralign="center" o:hrstd="t" o:hr="t"/>
        </w:pict>
      </w:r>
    </w:p>
    <w:bookmarkEnd w:id="14"/>
    <w:bookmarkEnd w:id="15"/>
    <w:bookmarkStart w:id="16" w:name="numbers-to-frame-it"/>
    <w:p>
      <w:pPr>
        <w:pStyle w:val="Heading2"/>
      </w:pPr>
      <w:r>
        <w:t xml:space="preserve">Numbers to frame it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Q1 2026</w:t>
            </w:r>
          </w:p>
        </w:tc>
        <w:tc>
          <w:tcPr/>
          <w:p>
            <w:pPr>
              <w:pStyle w:val="Compact"/>
            </w:pPr>
            <w:r>
              <w:t xml:space="preserve">Q1 2025</w:t>
            </w:r>
          </w:p>
        </w:tc>
        <w:tc>
          <w:tcPr/>
          <w:p>
            <w:pPr>
              <w:pStyle w:val="Compact"/>
            </w:pPr>
            <w:r>
              <w:t xml:space="preserve">Note</w:t>
            </w:r>
          </w:p>
        </w:tc>
      </w:tr>
      <w:tr>
        <w:tc>
          <w:tcPr/>
          <w:p>
            <w:pPr>
              <w:pStyle w:val="Compact"/>
            </w:pPr>
            <w:r>
              <w:t xml:space="preserve">Net sales</w:t>
            </w:r>
          </w:p>
        </w:tc>
        <w:tc>
          <w:tcPr/>
          <w:p>
            <w:pPr>
              <w:pStyle w:val="Compact"/>
            </w:pPr>
            <w:r>
              <w:t xml:space="preserve">$1.99B</w:t>
            </w:r>
          </w:p>
        </w:tc>
        <w:tc>
          <w:tcPr/>
          <w:p>
            <w:pPr>
              <w:pStyle w:val="Compact"/>
            </w:pPr>
            <w:r>
              <w:t xml:space="preserve">$1.66B</w:t>
            </w:r>
          </w:p>
        </w:tc>
        <w:tc>
          <w:tcPr/>
          <w:p>
            <w:pPr>
              <w:pStyle w:val="Compact"/>
            </w:pPr>
            <w:r>
              <w:t xml:space="preserve">Higher prices, lower volumes</w:t>
            </w:r>
          </w:p>
        </w:tc>
      </w:tr>
      <w:tr>
        <w:tc>
          <w:tcPr/>
          <w:p>
            <w:pPr>
              <w:pStyle w:val="Compact"/>
            </w:pPr>
            <w:r>
              <w:t xml:space="preserve">Adj. EBITDA</w:t>
            </w:r>
          </w:p>
        </w:tc>
        <w:tc>
          <w:tcPr/>
          <w:p>
            <w:pPr>
              <w:pStyle w:val="Compact"/>
            </w:pPr>
            <w:r>
              <w:t xml:space="preserve">$983M</w:t>
            </w:r>
          </w:p>
        </w:tc>
        <w:tc>
          <w:tcPr/>
          <w:p>
            <w:pPr>
              <w:pStyle w:val="Compact"/>
            </w:pPr>
            <w:r>
              <w:t xml:space="preserve">$644M</w:t>
            </w:r>
          </w:p>
        </w:tc>
        <w:tc>
          <w:tcPr/>
          <w:p>
            <w:pPr>
              <w:pStyle w:val="Compact"/>
            </w:pPr>
            <w:r>
              <w:t xml:space="preserve">Q1'26 incl. ~$170M litigation gain</w:t>
            </w:r>
          </w:p>
        </w:tc>
      </w:tr>
      <w:tr>
        <w:tc>
          <w:tcPr/>
          <w:p>
            <w:pPr>
              <w:pStyle w:val="Compact"/>
            </w:pPr>
            <w:r>
              <w:t xml:space="preserve">Diluted EPS</w:t>
            </w:r>
          </w:p>
        </w:tc>
        <w:tc>
          <w:tcPr/>
          <w:p>
            <w:pPr>
              <w:pStyle w:val="Compact"/>
            </w:pPr>
            <w:r>
              <w:t xml:space="preserve">$3.98</w:t>
            </w:r>
          </w:p>
        </w:tc>
        <w:tc>
          <w:tcPr/>
          <w:p>
            <w:pPr>
              <w:pStyle w:val="Compact"/>
            </w:pPr>
            <w:r>
              <w:t xml:space="preserve">$1.85</w:t>
            </w:r>
          </w:p>
        </w:tc>
        <w:tc>
          <w:tcPr/>
          <w:p>
            <w:pPr>
              <w:pStyle w:val="Compact"/>
            </w:pPr>
          </w:p>
        </w:tc>
      </w:tr>
      <w:tr>
        <w:tc>
          <w:tcPr/>
          <w:p>
            <w:pPr>
              <w:pStyle w:val="Compact"/>
            </w:pPr>
            <w:r>
              <w:t xml:space="preserve">Realized gas</w:t>
            </w:r>
          </w:p>
        </w:tc>
        <w:tc>
          <w:tcPr/>
          <w:p>
            <w:pPr>
              <w:pStyle w:val="Compact"/>
            </w:pPr>
            <w:r>
              <w:t xml:space="preserve">$4.57</w:t>
            </w:r>
          </w:p>
        </w:tc>
        <w:tc>
          <w:tcPr/>
          <w:p>
            <w:pPr>
              <w:pStyle w:val="Compact"/>
            </w:pPr>
            <w:r>
              <w:t xml:space="preserve">$3.68</w:t>
            </w:r>
          </w:p>
        </w:tc>
        <w:tc>
          <w:tcPr/>
          <w:p>
            <w:pPr>
              <w:pStyle w:val="Compact"/>
            </w:pPr>
            <w:r>
              <w:t xml:space="preserve">Q2 gas set to fall sharply</w:t>
            </w:r>
          </w:p>
        </w:tc>
      </w:tr>
      <w:tr>
        <w:tc>
          <w:tcPr/>
          <w:p>
            <w:pPr>
              <w:pStyle w:val="Compact"/>
            </w:pPr>
            <w:r>
              <w:t xml:space="preserve">Ammonia utilization</w:t>
            </w:r>
          </w:p>
        </w:tc>
        <w:tc>
          <w:tcPr/>
          <w:p>
            <w:pPr>
              <w:pStyle w:val="Compact"/>
            </w:pPr>
            <w:r>
              <w:t xml:space="preserve">99%</w:t>
            </w:r>
          </w:p>
        </w:tc>
        <w:tc>
          <w:tcPr/>
          <w:p>
            <w:pPr>
              <w:pStyle w:val="Compact"/>
            </w:pPr>
            <w:r>
              <w:t xml:space="preserve">—</w:t>
            </w:r>
          </w:p>
        </w:tc>
        <w:tc>
          <w:tcPr/>
          <w:p>
            <w:pPr>
              <w:pStyle w:val="Compact"/>
            </w:pPr>
            <w:r>
              <w:t xml:space="preserve">ex-Yazoo City</w:t>
            </w:r>
          </w:p>
        </w:tc>
      </w:tr>
      <w:tr>
        <w:tc>
          <w:tcPr/>
          <w:p>
            <w:pPr>
              <w:pStyle w:val="Compact"/>
            </w:pPr>
            <w:r>
              <w:t xml:space="preserve">TTM FCF</w:t>
            </w:r>
          </w:p>
        </w:tc>
        <w:tc>
          <w:tcPr/>
          <w:p>
            <w:pPr>
              <w:pStyle w:val="Compact"/>
            </w:pPr>
            <w:r>
              <w:t xml:space="preserve">$1.65B</w:t>
            </w:r>
          </w:p>
        </w:tc>
        <w:tc>
          <w:tcPr/>
          <w:p>
            <w:pPr>
              <w:pStyle w:val="Compact"/>
            </w:pPr>
            <w:r>
              <w:t xml:space="preserve">$1.57B</w:t>
            </w:r>
          </w:p>
        </w:tc>
        <w:tc>
          <w:tcPr/>
          <w:p>
            <w:pPr>
              <w:pStyle w:val="Compact"/>
            </w:pPr>
            <w:r>
              <w:t xml:space="preserve">industry-leading conversion</w:t>
            </w:r>
          </w:p>
        </w:tc>
      </w:tr>
    </w:tbl>
    <w:p>
      <w:pPr>
        <w:pStyle w:val="BodyText"/>
      </w:pPr>
      <w:r>
        <w:rPr>
          <w:b/>
          <w:bCs/>
        </w:rPr>
        <w:t xml:space="preserve">Modeling note:</w:t>
      </w:r>
      <w:r>
        <w:t xml:space="preserve"> </w:t>
      </w:r>
      <w:r>
        <w:t xml:space="preserve">Q1's headline was flattered by the ~</w:t>
      </w:r>
      <m:oMath>
        <m:r>
          <m:t>170</m:t>
        </m:r>
        <m:r>
          <m:t>M</m:t>
        </m:r>
        <m:r>
          <m:rPr>
            <m:sty m:val="p"/>
          </m:rPr>
          <m:t>/</m:t>
        </m:r>
      </m:oMath>
      <w:r>
        <w:t xml:space="preserve">129M after-tax litigation settlement plus $24M of 45Q credits and</w:t>
      </w:r>
      <w:r>
        <w:t xml:space="preserve"> </w:t>
      </w:r>
      <m:oMath>
        <m:r>
          <m:t>25</m:t>
        </m:r>
        <m:r>
          <m:t>M</m:t>
        </m:r>
        <m:r>
          <m:t>i</m:t>
        </m:r>
        <m:r>
          <m:t>n</m:t>
        </m:r>
        <m:r>
          <m:t>s</m:t>
        </m:r>
        <m:r>
          <m:t>u</m:t>
        </m:r>
        <m:r>
          <m:t>r</m:t>
        </m:r>
        <m:r>
          <m:t>a</m:t>
        </m:r>
        <m:r>
          <m:t>n</m:t>
        </m:r>
        <m:r>
          <m:t>c</m:t>
        </m:r>
        <m:r>
          <m:t>e</m:t>
        </m:r>
        <m:r>
          <m:t>r</m:t>
        </m:r>
        <m:r>
          <m:t>e</m:t>
        </m:r>
        <m:r>
          <m:t>c</m:t>
        </m:r>
        <m:r>
          <m:t>o</m:t>
        </m:r>
        <m:r>
          <m:t>v</m:t>
        </m:r>
        <m:r>
          <m:t>e</m:t>
        </m:r>
        <m:r>
          <m:t>r</m:t>
        </m:r>
        <m:r>
          <m:t>i</m:t>
        </m:r>
        <m:r>
          <m:t>e</m:t>
        </m:r>
        <m:r>
          <m:t>s</m:t>
        </m:r>
        <m:r>
          <m:rPr>
            <m:sty m:val="p"/>
          </m:rPr>
          <m:t>.</m:t>
        </m:r>
        <m:r>
          <m:t>S</m:t>
        </m:r>
        <m:r>
          <m:t>t</m:t>
        </m:r>
        <m:r>
          <m:t>r</m:t>
        </m:r>
        <m:r>
          <m:t>i</m:t>
        </m:r>
        <m:r>
          <m:t>p</m:t>
        </m:r>
        <m:r>
          <m:t>t</m:t>
        </m:r>
        <m:r>
          <m:t>h</m:t>
        </m:r>
        <m:r>
          <m:t>o</m:t>
        </m:r>
        <m:r>
          <m:t>s</m:t>
        </m:r>
        <m:r>
          <m:t>e</m:t>
        </m:r>
        <m:r>
          <m:t>o</m:t>
        </m:r>
        <m:r>
          <m:t>u</m:t>
        </m:r>
        <m:r>
          <m:t>t</m:t>
        </m:r>
        <m:r>
          <m:t>f</m:t>
        </m:r>
        <m:r>
          <m:t>o</m:t>
        </m:r>
        <m:r>
          <m:t>r</m:t>
        </m:r>
        <m:r>
          <m:t>a</m:t>
        </m:r>
        <m:r>
          <m:t>c</m:t>
        </m:r>
        <m:r>
          <m:t>l</m:t>
        </m:r>
        <m:r>
          <m:t>e</m:t>
        </m:r>
        <m:r>
          <m:t>a</m:t>
        </m:r>
        <m:r>
          <m:t>n</m:t>
        </m:r>
        <m:r>
          <m:t>e</m:t>
        </m:r>
        <m:r>
          <m:t>r</m:t>
        </m:r>
        <m:r>
          <m:t>r</m:t>
        </m:r>
        <m:r>
          <m:t>e</m:t>
        </m:r>
        <m:r>
          <m:t>a</m:t>
        </m:r>
        <m:r>
          <m:t>d</m:t>
        </m:r>
        <m:r>
          <m:t>o</m:t>
        </m:r>
        <m:r>
          <m:t>n</m:t>
        </m:r>
        <m:r>
          <m:t>t</m:t>
        </m:r>
        <m:r>
          <m:t>h</m:t>
        </m:r>
        <m:r>
          <m:t>e</m:t>
        </m:r>
        <m:r>
          <m:rPr>
            <m:sty m:val="p"/>
          </m:rPr>
          <m:t>*</m:t>
        </m:r>
        <m:r>
          <m:t>u</m:t>
        </m:r>
        <m:r>
          <m:t>n</m:t>
        </m:r>
        <m:r>
          <m:t>d</m:t>
        </m:r>
        <m:r>
          <m:t>e</m:t>
        </m:r>
        <m:r>
          <m:t>r</m:t>
        </m:r>
        <m:r>
          <m:t>l</m:t>
        </m:r>
        <m:r>
          <m:t>y</m:t>
        </m:r>
        <m:r>
          <m:t>i</m:t>
        </m:r>
        <m:r>
          <m:t>n</m:t>
        </m:r>
        <m:r>
          <m:t>g</m:t>
        </m:r>
        <m:r>
          <m:rPr>
            <m:sty m:val="p"/>
          </m:rPr>
          <m:t>*</m:t>
        </m:r>
        <m:r>
          <m:t>t</m:t>
        </m:r>
        <m:r>
          <m:t>r</m:t>
        </m:r>
        <m:r>
          <m:t>a</m:t>
        </m:r>
        <m:r>
          <m:t>j</m:t>
        </m:r>
        <m:r>
          <m:t>e</m:t>
        </m:r>
        <m:r>
          <m:t>c</m:t>
        </m:r>
        <m:r>
          <m:t>t</m:t>
        </m:r>
        <m:r>
          <m:t>o</m:t>
        </m:r>
        <m:r>
          <m:t>r</m:t>
        </m:r>
        <m:r>
          <m:t>y</m:t>
        </m:r>
        <m:r>
          <m:t>i</m:t>
        </m:r>
        <m:r>
          <m:t>n</m:t>
        </m:r>
        <m:r>
          <m:t>t</m:t>
        </m:r>
        <m:r>
          <m:t>o</m:t>
        </m:r>
        <m:r>
          <m:t>Q</m:t>
        </m:r>
        <m:r>
          <m:t>2</m:t>
        </m:r>
        <m:r>
          <m:rPr>
            <m:sty m:val="p"/>
          </m:rPr>
          <m:t>.</m:t>
        </m:r>
        <m:r>
          <m:t>A</m:t>
        </m:r>
        <m:r>
          <m:t>l</m:t>
        </m:r>
        <m:r>
          <m:t>s</m:t>
        </m:r>
        <m:r>
          <m:t>o</m:t>
        </m:r>
        <m:r>
          <m:t>r</m:t>
        </m:r>
        <m:r>
          <m:t>e</m:t>
        </m:r>
        <m:r>
          <m:t>m</m:t>
        </m:r>
        <m:r>
          <m:t>e</m:t>
        </m:r>
        <m:r>
          <m:t>m</m:t>
        </m:r>
        <m:r>
          <m:t>b</m:t>
        </m:r>
        <m:r>
          <m:t>e</m:t>
        </m:r>
        <m:r>
          <m:t>r</m:t>
        </m:r>
        <m:r>
          <m:t>t</m:t>
        </m:r>
        <m:r>
          <m:t>h</m:t>
        </m:r>
        <m:r>
          <m:t>e</m:t>
        </m:r>
        <m:r>
          <m:t>d</m:t>
        </m:r>
        <m:r>
          <m:t>r</m:t>
        </m:r>
        <m:r>
          <m:t>a</m:t>
        </m:r>
        <m:r>
          <m:t>g</m:t>
        </m:r>
        <m:r>
          <m:t>f</m:t>
        </m:r>
        <m:r>
          <m:t>r</m:t>
        </m:r>
        <m:r>
          <m:t>o</m:t>
        </m:r>
        <m:r>
          <m:t>m</m:t>
        </m:r>
        <m:r>
          <m:t>n</m:t>
        </m:r>
        <m:r>
          <m:t>o</m:t>
        </m:r>
        <m:r>
          <m:t>n</m:t>
        </m:r>
        <m:r>
          <m:t>c</m:t>
        </m:r>
        <m:r>
          <m:t>o</m:t>
        </m:r>
        <m:r>
          <m:t>n</m:t>
        </m:r>
        <m:r>
          <m:t>t</m:t>
        </m:r>
        <m:r>
          <m:t>r</m:t>
        </m:r>
        <m:r>
          <m:t>o</m:t>
        </m:r>
        <m:r>
          <m:t>l</m:t>
        </m:r>
        <m:r>
          <m:t>l</m:t>
        </m:r>
        <m:r>
          <m:t>i</m:t>
        </m:r>
        <m:r>
          <m:t>n</m:t>
        </m:r>
        <m:r>
          <m:t>g</m:t>
        </m:r>
        <m:r>
          <m:t>i</m:t>
        </m:r>
        <m:r>
          <m:t>n</m:t>
        </m:r>
        <m:r>
          <m:t>t</m:t>
        </m:r>
        <m:r>
          <m:t>e</m:t>
        </m:r>
        <m:r>
          <m:t>r</m:t>
        </m:r>
        <m:r>
          <m:t>e</m:t>
        </m:r>
        <m:r>
          <m:t>s</m:t>
        </m:r>
        <m:r>
          <m:t>t</m:t>
        </m:r>
        <m:r>
          <m:t>s</m:t>
        </m:r>
        <m:r>
          <m:rPr>
            <m:sty m:val="p"/>
          </m:rPr>
          <m:t>(</m:t>
        </m:r>
        <m:r>
          <m:t>C</m:t>
        </m:r>
        <m:r>
          <m:t>H</m:t>
        </m:r>
        <m:r>
          <m:t>S</m:t>
        </m:r>
        <m:r>
          <m:t>d</m:t>
        </m:r>
        <m:r>
          <m:t>i</m:t>
        </m:r>
        <m:r>
          <m:t>s</m:t>
        </m:r>
        <m:r>
          <m:t>t</m:t>
        </m:r>
        <m:r>
          <m:t>r</m:t>
        </m:r>
        <m:r>
          <m:t>i</m:t>
        </m:r>
        <m:r>
          <m:t>b</m:t>
        </m:r>
        <m:r>
          <m:t>u</m:t>
        </m:r>
        <m:r>
          <m:t>t</m:t>
        </m:r>
        <m:r>
          <m:t>i</m:t>
        </m:r>
        <m:r>
          <m:t>o</m:t>
        </m:r>
        <m:r>
          <m:t>n</m:t>
        </m:r>
        <m:r>
          <m:t> </m:t>
        </m:r>
      </m:oMath>
      <w:r>
        <w:t xml:space="preserve">88M/qtr accrual, plus the consolidated Blue Point JV).</w:t>
      </w:r>
    </w:p>
    <w:p>
      <w:r>
        <w:pict>
          <v:rect style="width:0;height:1.5pt" o:hralign="center" o:hrstd="t" o:hr="t"/>
        </w:pict>
      </w:r>
    </w:p>
    <w:bookmarkEnd w:id="16"/>
    <w:bookmarkStart w:id="17" w:name="bottom-line"/>
    <w:p>
      <w:pPr>
        <w:pStyle w:val="Heading2"/>
      </w:pPr>
      <w:r>
        <w:t xml:space="preserve">Bottom line</w:t>
      </w:r>
    </w:p>
    <w:p>
      <w:pPr>
        <w:pStyle w:val="FirstParagraph"/>
      </w:pPr>
      <w:r>
        <w:t xml:space="preserve">Q2 should be a strong, potentially standout quarter on the collision of peak-season demand, a full quarter of shock-elevated global prices, and a big drop in natural gas costs — and the 20% dividend hike telegraphs management's confidence. The report will likely hinge less on the beat itself and more on three things: (1) how aggressively CF redeploys its cash windfall into buybacks after a nearly dormant Q1, (2) the durability of the "higher-for-longer" nitrogen narrative into 2027 (China/India/LNG dynamics), and (3) any change to the Yazoo City restart timeline. With the stock having round-tripped from its March highs, the forward commentary — not the quarter — is what moves it.</w:t>
      </w:r>
    </w:p>
    <w:p>
      <w:pPr>
        <w:pStyle w:val="BodyText"/>
      </w:pPr>
      <w:r>
        <w:rPr>
          <w:i/>
          <w:iCs/>
        </w:rPr>
        <w:t xml:space="preserve">Sources: CF Q1 2026 earnings release and call transcript (May 6–7, 2026); CF dividend press release (July 8, 2026); daily price data through Aug 4, 2026.</w:t>
      </w:r>
    </w:p>
    <w:p>
      <w:pPr>
        <w:pStyle w:val="BodyText"/>
      </w:pPr>
      <w:r>
        <w:t xml:space="preserve">Want me to pull consensus estimates or build a quick sensitivity on Q2 EBITDA under different urea price/gas cost scenarios?</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2026-08-05T02:17:53Z</dcterms:created>
  <dcterms:modified xsi:type="dcterms:W3CDTF">2026-08-05T02:17:53Z</dcterms:modified>
</cp:coreProperties>
</file>

<file path=docProps/custom.xml><?xml version="1.0" encoding="utf-8"?>
<Properties xmlns="http://schemas.openxmlformats.org/officeDocument/2006/custom-properties" xmlns:vt="http://schemas.openxmlformats.org/officeDocument/2006/docPropsVTypes"/>
</file>