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cf-industries-q2-2026-earnings-preview"/>
    <w:p>
      <w:pPr>
        <w:pStyle w:val="Heading1"/>
      </w:pPr>
      <w:r>
        <w:t xml:space="preserve">CF Industries Q2 2026 Earnings Preview</w:t>
      </w:r>
    </w:p>
    <w:p>
      <w:pPr>
        <w:pStyle w:val="BlockText"/>
      </w:pPr>
      <w:r>
        <w:rPr>
          <w:b/>
          <w:bCs/>
        </w:rPr>
        <w:t xml:space="preserve">Timing clarification:</w:t>
      </w:r>
      <w:r>
        <w:t xml:space="preserve"> </w:t>
      </w:r>
      <w:r>
        <w:t xml:space="preserve">CF is expected to release second-quarter results</w:t>
      </w:r>
      <w:r>
        <w:t xml:space="preserve"> </w:t>
      </w:r>
      <w:r>
        <w:rPr>
          <w:b/>
          <w:bCs/>
        </w:rPr>
        <w:t xml:space="preserve">after the market closes today, Wednesday, August 5, 2026</w:t>
      </w:r>
      <w:r>
        <w:t xml:space="preserve">. The earnings call is scheduled for</w:t>
      </w:r>
      <w:r>
        <w:t xml:space="preserve"> </w:t>
      </w:r>
      <w:r>
        <w:rPr>
          <w:b/>
          <w:bCs/>
        </w:rPr>
        <w:t xml:space="preserve">Thursday, August 6 at 11:00 a.m. ET</w:t>
      </w:r>
      <w:r>
        <w:t xml:space="preserve">—so the call, rather than the release, is tomorrow. (</w:t>
      </w:r>
      <w:hyperlink r:id="rId9">
        <w:r>
          <w:rPr>
            <w:rStyle w:val="Hyperlink"/>
          </w:rPr>
          <w:t xml:space="preserve">benzinga.com</w:t>
        </w:r>
      </w:hyperlink>
      <w:r>
        <w:t xml:space="preserve">)</w:t>
      </w:r>
    </w:p>
    <w:bookmarkStart w:id="11" w:name="investment-view-going-into-the-report"/>
    <w:p>
      <w:pPr>
        <w:pStyle w:val="Heading2"/>
      </w:pPr>
      <w:r>
        <w:t xml:space="preserve">Investment view going into the report</w:t>
      </w:r>
    </w:p>
    <w:p>
      <w:pPr>
        <w:pStyle w:val="FirstParagraph"/>
      </w:pPr>
      <w:r>
        <w:t xml:space="preserve">CF should report a very strong quarter, benefiting from elevated nitrogen prices, robust North American spring demand and lower sequential natural-gas costs. But a strong backward-looking result is largely expected.</w:t>
      </w:r>
    </w:p>
    <w:p>
      <w:pPr>
        <w:pStyle w:val="BodyText"/>
      </w:pPr>
      <w:r>
        <w:t xml:space="preserve">The bigger issue is whether management continues to see unusually tight nitrogen markets through 2027 now that:</w:t>
      </w:r>
    </w:p>
    <w:p>
      <w:pPr>
        <w:pStyle w:val="Compact"/>
        <w:numPr>
          <w:ilvl w:val="0"/>
          <w:numId w:val="1001"/>
        </w:numPr>
      </w:pPr>
      <w:r>
        <w:t xml:space="preserve">China has resumed some urea exports;</w:t>
      </w:r>
    </w:p>
    <w:p>
      <w:pPr>
        <w:pStyle w:val="Compact"/>
        <w:numPr>
          <w:ilvl w:val="0"/>
          <w:numId w:val="1001"/>
        </w:numPr>
      </w:pPr>
      <w:r>
        <w:t xml:space="preserve">Indian tender prices have fallen sharply from their April crisis highs; and</w:t>
      </w:r>
    </w:p>
    <w:p>
      <w:pPr>
        <w:pStyle w:val="Compact"/>
        <w:numPr>
          <w:ilvl w:val="0"/>
          <w:numId w:val="1001"/>
        </w:numPr>
      </w:pPr>
      <w:r>
        <w:t xml:space="preserve">Iran and Oman are making progress toward reopening the Strait of Hormuz.</w:t>
      </w:r>
    </w:p>
    <w:p>
      <w:pPr>
        <w:pStyle w:val="FirstParagraph"/>
      </w:pPr>
      <w:r>
        <w:t xml:space="preserve">In other words,</w:t>
      </w:r>
      <w:r>
        <w:t xml:space="preserve"> </w:t>
      </w:r>
      <w:r>
        <w:rPr>
          <w:b/>
          <w:bCs/>
        </w:rPr>
        <w:t xml:space="preserve">the stock is more likely to trade on the durability of the pricing cycle than on the Q2 earnings beat itself</w:t>
      </w:r>
      <w:r>
        <w:t xml:space="preserve">. (</w:t>
      </w:r>
      <w:hyperlink r:id="rId10">
        <w:r>
          <w:rPr>
            <w:rStyle w:val="Hyperlink"/>
          </w:rPr>
          <w:t xml:space="preserve">spglobal.com</w:t>
        </w:r>
      </w:hyperlink>
      <w:r>
        <w:t xml:space="preserve">)</w:t>
      </w:r>
    </w:p>
    <w:p>
      <w:r>
        <w:pict>
          <v:rect style="width:0;height:1.5pt" o:hralign="center" o:hrstd="t" o:hr="t"/>
        </w:pict>
      </w:r>
    </w:p>
    <w:bookmarkEnd w:id="11"/>
    <w:bookmarkStart w:id="13" w:name="street-expectations"/>
    <w:p>
      <w:pPr>
        <w:pStyle w:val="Heading2"/>
      </w:pPr>
      <w:r>
        <w:t xml:space="preserve">Street expectations</w:t>
      </w:r>
    </w:p>
    <w:p>
      <w:pPr>
        <w:pStyle w:val="FirstParagraph"/>
      </w:pPr>
      <w:r>
        <w:t xml:space="preserve">Public consensus feeds have moved rapidly and remain unusually dispersed:</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Current public estimates</w:t>
            </w:r>
          </w:p>
        </w:tc>
        <w:tc>
          <w:tcPr/>
          <w:p>
            <w:pPr>
              <w:pStyle w:val="Compact"/>
              <w:jc w:val="right"/>
            </w:pPr>
            <w:r>
              <w:t xml:space="preserve">Q2 2025 actual</w:t>
            </w:r>
          </w:p>
        </w:tc>
      </w:tr>
      <w:tr>
        <w:tc>
          <w:tcPr/>
          <w:p>
            <w:pPr>
              <w:pStyle w:val="Compact"/>
            </w:pPr>
            <w:r>
              <w:t xml:space="preserve">EPS</w:t>
            </w:r>
          </w:p>
        </w:tc>
        <w:tc>
          <w:tcPr/>
          <w:p>
            <w:pPr>
              <w:pStyle w:val="Compact"/>
              <w:jc w:val="right"/>
            </w:pPr>
            <w:r>
              <w:t xml:space="preserve">Roughly</w:t>
            </w:r>
            <w:r>
              <w:t xml:space="preserve"> </w:t>
            </w:r>
            <m:oMath>
              <m:r>
                <m:t>5.60</m:t>
              </m:r>
              <m:r>
                <m:rPr>
                  <m:sty m:val="p"/>
                </m:rPr>
                <m:t>–</m:t>
              </m:r>
            </m:oMath>
            <w:r>
              <w:rPr>
                <w:b/>
                <w:bCs/>
              </w:rPr>
              <w:t xml:space="preserve">5.80</w:t>
            </w:r>
            <w:r>
              <w:t xml:space="preserve"> </w:t>
            </w:r>
            <w:r>
              <w:t xml:space="preserve">in newer feeds</w:t>
            </w:r>
          </w:p>
        </w:tc>
        <w:tc>
          <w:tcPr/>
          <w:p>
            <w:pPr>
              <w:pStyle w:val="Compact"/>
              <w:jc w:val="right"/>
            </w:pPr>
            <w:r>
              <w:t xml:space="preserve">$2.37</w:t>
            </w:r>
          </w:p>
        </w:tc>
      </w:tr>
      <w:tr>
        <w:tc>
          <w:tcPr/>
          <w:p>
            <w:pPr>
              <w:pStyle w:val="Compact"/>
            </w:pPr>
            <w:r>
              <w:t xml:space="preserve">Revenue</w:t>
            </w:r>
          </w:p>
        </w:tc>
        <w:tc>
          <w:tcPr/>
          <w:p>
            <w:pPr>
              <w:pStyle w:val="Compact"/>
              <w:jc w:val="right"/>
            </w:pPr>
            <w:r>
              <w:t xml:space="preserve">Approximately</w:t>
            </w:r>
            <w:r>
              <w:t xml:space="preserve"> </w:t>
            </w:r>
            <w:r>
              <w:rPr>
                <w:b/>
                <w:bCs/>
              </w:rPr>
              <w:t xml:space="preserve">$2.47 billion</w:t>
            </w:r>
            <w:r>
              <w:t xml:space="preserve"> </w:t>
            </w:r>
            <w:r>
              <w:t xml:space="preserve">in newer feeds</w:t>
            </w:r>
          </w:p>
        </w:tc>
        <w:tc>
          <w:tcPr/>
          <w:p>
            <w:pPr>
              <w:pStyle w:val="Compact"/>
              <w:jc w:val="right"/>
            </w:pPr>
            <w:r>
              <w:t xml:space="preserve">$1.89 billion</w:t>
            </w:r>
          </w:p>
        </w:tc>
      </w:tr>
      <w:tr>
        <w:tc>
          <w:tcPr/>
          <w:p>
            <w:pPr>
              <w:pStyle w:val="Compact"/>
            </w:pPr>
            <w:r>
              <w:t xml:space="preserve">Adjusted EBITDA</w:t>
            </w:r>
          </w:p>
        </w:tc>
        <w:tc>
          <w:tcPr/>
          <w:p>
            <w:pPr>
              <w:pStyle w:val="Compact"/>
              <w:jc w:val="right"/>
            </w:pPr>
            <w:r>
              <w:t xml:space="preserve">No consistently available current quarterly consensus</w:t>
            </w:r>
          </w:p>
        </w:tc>
        <w:tc>
          <w:tcPr/>
          <w:p>
            <w:pPr>
              <w:pStyle w:val="Compact"/>
              <w:jc w:val="right"/>
            </w:pPr>
            <w:r>
              <w:t xml:space="preserve">$761 million</w:t>
            </w:r>
          </w:p>
        </w:tc>
      </w:tr>
    </w:tbl>
    <w:p>
      <w:pPr>
        <w:pStyle w:val="BodyText"/>
      </w:pPr>
      <w:r>
        <w:t xml:space="preserve">Benzinga, Investing.com and TipRanks currently show EPS estimates around</w:t>
      </w:r>
      <w:r>
        <w:t xml:space="preserve"> </w:t>
      </w:r>
      <m:oMath>
        <m:r>
          <m:t>5.6</m:t>
        </m:r>
        <m:r>
          <m:rPr>
            <m:sty m:val="p"/>
          </m:rPr>
          <m:t>–</m:t>
        </m:r>
      </m:oMath>
      <w:r>
        <w:t xml:space="preserve">5.8 and revenue near $2.47 billion. A broader FactSet-derived page still shows a lower $4.61 EPS and $2.19 billion revenue consensus, likely reflecting different update timing or estimate definitions. Investors should therefore treat any single “consensus” number cautiously. (</w:t>
      </w:r>
      <w:hyperlink r:id="rId9">
        <w:r>
          <w:rPr>
            <w:rStyle w:val="Hyperlink"/>
          </w:rPr>
          <w:t xml:space="preserve">benzinga.com</w:t>
        </w:r>
      </w:hyperlink>
      <w:r>
        <w:t xml:space="preserve">)</w:t>
      </w:r>
    </w:p>
    <w:p>
      <w:pPr>
        <w:pStyle w:val="BodyText"/>
      </w:pPr>
      <w:r>
        <w:t xml:space="preserve">For the full year, a July 28 FactSet snapshot showed approximately</w:t>
      </w:r>
      <w:r>
        <w:t xml:space="preserve"> </w:t>
      </w:r>
      <w:r>
        <w:rPr>
          <w:b/>
          <w:bCs/>
        </w:rPr>
        <w:t xml:space="preserve">$17.19 of 2026 EPS and $4.24 billion of EBITDA</w:t>
      </w:r>
      <w:r>
        <w:t xml:space="preserve">, compared with 2025 EBITDA of $2.89 billion. That indicates the market is already capitalizing a significant portion of the 2026 nitrogen-price windfall. (</w:t>
      </w:r>
      <w:hyperlink r:id="rId12">
        <w:r>
          <w:rPr>
            <w:rStyle w:val="Hyperlink"/>
          </w:rPr>
          <w:t xml:space="preserve">boursorama.com</w:t>
        </w:r>
      </w:hyperlink>
      <w:r>
        <w:t xml:space="preserve">)</w:t>
      </w:r>
    </w:p>
    <w:p>
      <w:r>
        <w:pict>
          <v:rect style="width:0;height:1.5pt" o:hralign="center" o:hrstd="t" o:hr="t"/>
        </w:pict>
      </w:r>
    </w:p>
    <w:bookmarkEnd w:id="13"/>
    <w:bookmarkStart w:id="18" w:name="what-should-drive-q2"/>
    <w:p>
      <w:pPr>
        <w:pStyle w:val="Heading2"/>
      </w:pPr>
      <w:r>
        <w:t xml:space="preserve">What should drive Q2</w:t>
      </w:r>
    </w:p>
    <w:bookmarkStart w:id="15" w:name="X4e38dbafaad93b5d63aa6000abdb702eaaf7055"/>
    <w:p>
      <w:pPr>
        <w:pStyle w:val="Heading3"/>
      </w:pPr>
      <w:r>
        <w:t xml:space="preserve">1. Realized nitrogen prices</w:t>
      </w:r>
    </w:p>
    <w:p>
      <w:pPr>
        <w:pStyle w:val="FirstParagraph"/>
      </w:pPr>
      <w:r>
        <w:t xml:space="preserve">This is the central earnings lever.</w:t>
      </w:r>
    </w:p>
    <w:p>
      <w:pPr>
        <w:pStyle w:val="BodyText"/>
      </w:pPr>
      <w:r>
        <w:t xml:space="preserve">In Q1, CF reported higher selling prices across all segments as an already-tight nitrogen market was further disrupted by the conflict with Iran. The benefit should be larger in Q2 because more of the quarter occurred after the supply shock, and Q2 is seasonally important for North American fertilizer shipments. (</w:t>
      </w:r>
      <w:hyperlink r:id="rId14">
        <w:r>
          <w:rPr>
            <w:rStyle w:val="Hyperlink"/>
          </w:rPr>
          <w:t xml:space="preserve">ir.cfindustries.com</w:t>
        </w:r>
      </w:hyperlink>
      <w:r>
        <w:t xml:space="preserve">)</w:t>
      </w:r>
    </w:p>
    <w:p>
      <w:pPr>
        <w:pStyle w:val="BodyText"/>
      </w:pPr>
      <w:r>
        <w:t xml:space="preserve">Investors should focus on:</w:t>
      </w:r>
    </w:p>
    <w:p>
      <w:pPr>
        <w:pStyle w:val="Compact"/>
        <w:numPr>
          <w:ilvl w:val="0"/>
          <w:numId w:val="1002"/>
        </w:numPr>
      </w:pPr>
      <w:r>
        <w:t xml:space="preserve">Average selling prices for ammonia, granular urea and UAN.</w:t>
      </w:r>
    </w:p>
    <w:p>
      <w:pPr>
        <w:pStyle w:val="Compact"/>
        <w:numPr>
          <w:ilvl w:val="0"/>
          <w:numId w:val="1002"/>
        </w:numPr>
      </w:pPr>
      <w:r>
        <w:t xml:space="preserve">Whether realized prices captured the spring surge or lagged spot markets because of forward sales.</w:t>
      </w:r>
    </w:p>
    <w:p>
      <w:pPr>
        <w:pStyle w:val="Compact"/>
        <w:numPr>
          <w:ilvl w:val="0"/>
          <w:numId w:val="1002"/>
        </w:numPr>
      </w:pPr>
      <w:r>
        <w:t xml:space="preserve">The degree to which higher urea economics caused CF to divert production away from UAN.</w:t>
      </w:r>
    </w:p>
    <w:p>
      <w:pPr>
        <w:pStyle w:val="Compact"/>
        <w:numPr>
          <w:ilvl w:val="0"/>
          <w:numId w:val="1002"/>
        </w:numPr>
      </w:pPr>
      <w:r>
        <w:t xml:space="preserve">Management’s expectations for summer-fill pricing and Q3 customer purchasing.</w:t>
      </w:r>
    </w:p>
    <w:p>
      <w:pPr>
        <w:pStyle w:val="FirstParagraph"/>
      </w:pPr>
      <w:r>
        <w:t xml:space="preserve">The likely positive is that Q2 realized prices were substantially above year-ago levels. The risk is that investors have already shifted their attention to lower June tender prices and potential normalization in the second half.</w:t>
      </w:r>
    </w:p>
    <w:bookmarkEnd w:id="15"/>
    <w:bookmarkStart w:id="16" w:name="Xce14aa2636d9f8338920be6268ce883b65c0adc"/>
    <w:p>
      <w:pPr>
        <w:pStyle w:val="Heading3"/>
      </w:pPr>
      <w:r>
        <w:t xml:space="preserve">2. Natural-gas costs and margin expansion</w:t>
      </w:r>
    </w:p>
    <w:p>
      <w:pPr>
        <w:pStyle w:val="FirstParagraph"/>
      </w:pPr>
      <w:r>
        <w:t xml:space="preserve">CF recorded a realized natural-gas cost of **</w:t>
      </w:r>
      <m:oMath>
        <m:r>
          <m:t>4.57</m:t>
        </m:r>
        <m:r>
          <m:rPr>
            <m:sty m:val="p"/>
          </m:rPr>
          <m:t>/</m:t>
        </m:r>
        <m:r>
          <m:t>M</m:t>
        </m:r>
        <m:r>
          <m:t>M</m:t>
        </m:r>
        <m:r>
          <m:t>B</m:t>
        </m:r>
        <m:r>
          <m:t>t</m:t>
        </m:r>
        <m:r>
          <m:t>u</m:t>
        </m:r>
        <m:r>
          <m:t>i</m:t>
        </m:r>
        <m:r>
          <m:t>n</m:t>
        </m:r>
        <m:r>
          <m:t>Q</m:t>
        </m:r>
        <m:r>
          <m:t>1</m:t>
        </m:r>
        <m:r>
          <m:rPr>
            <m:sty m:val="p"/>
          </m:rPr>
          <m:t>*</m:t>
        </m:r>
        <m:r>
          <m:rPr>
            <m:sty m:val="p"/>
          </m:rPr>
          <m:t>*</m:t>
        </m:r>
        <m:r>
          <m:rPr>
            <m:sty m:val="p"/>
          </m:rPr>
          <m:t>,</m:t>
        </m:r>
        <m:r>
          <m:t>r</m:t>
        </m:r>
        <m:r>
          <m:t>e</m:t>
        </m:r>
        <m:r>
          <m:t>f</m:t>
        </m:r>
        <m:r>
          <m:t>l</m:t>
        </m:r>
        <m:r>
          <m:t>e</m:t>
        </m:r>
        <m:r>
          <m:t>c</m:t>
        </m:r>
        <m:r>
          <m:t>t</m:t>
        </m:r>
        <m:r>
          <m:t>i</m:t>
        </m:r>
        <m:r>
          <m:t>n</m:t>
        </m:r>
        <m:r>
          <m:t>g</m:t>
        </m:r>
        <m:r>
          <m:t>e</m:t>
        </m:r>
        <m:r>
          <m:t>l</m:t>
        </m:r>
        <m:r>
          <m:t>e</m:t>
        </m:r>
        <m:r>
          <m:t>v</m:t>
        </m:r>
        <m:r>
          <m:t>a</m:t>
        </m:r>
        <m:r>
          <m:t>t</m:t>
        </m:r>
        <m:r>
          <m:t>e</m:t>
        </m:r>
        <m:r>
          <m:t>d</m:t>
        </m:r>
        <m:r>
          <m:t>J</m:t>
        </m:r>
        <m:r>
          <m:t>a</m:t>
        </m:r>
        <m:r>
          <m:t>n</m:t>
        </m:r>
        <m:r>
          <m:t>u</m:t>
        </m:r>
        <m:r>
          <m:t>a</m:t>
        </m:r>
        <m:r>
          <m:t>r</m:t>
        </m:r>
        <m:r>
          <m:t>y</m:t>
        </m:r>
        <m:r>
          <m:t>a</m:t>
        </m:r>
        <m:r>
          <m:t>n</m:t>
        </m:r>
        <m:r>
          <m:t>d</m:t>
        </m:r>
        <m:r>
          <m:t>F</m:t>
        </m:r>
        <m:r>
          <m:t>e</m:t>
        </m:r>
        <m:r>
          <m:t>b</m:t>
        </m:r>
        <m:r>
          <m:t>r</m:t>
        </m:r>
        <m:r>
          <m:t>u</m:t>
        </m:r>
        <m:r>
          <m:t>a</m:t>
        </m:r>
        <m:r>
          <m:t>r</m:t>
        </m:r>
        <m:r>
          <m:t>y</m:t>
        </m:r>
        <m:r>
          <m:t>p</m:t>
        </m:r>
        <m:r>
          <m:t>r</m:t>
        </m:r>
        <m:r>
          <m:t>i</m:t>
        </m:r>
        <m:r>
          <m:t>c</m:t>
        </m:r>
        <m:r>
          <m:t>e</m:t>
        </m:r>
        <m:r>
          <m:t>s</m:t>
        </m:r>
        <m:r>
          <m:rPr>
            <m:sty m:val="p"/>
          </m:rPr>
          <m:t>.</m:t>
        </m:r>
        <m:r>
          <m:t>O</m:t>
        </m:r>
        <m:r>
          <m:t>n</m:t>
        </m:r>
        <m:r>
          <m:t>t</m:t>
        </m:r>
        <m:r>
          <m:t>h</m:t>
        </m:r>
        <m:r>
          <m:t>e</m:t>
        </m:r>
        <m:r>
          <m:t>Q</m:t>
        </m:r>
        <m:r>
          <m:t>1</m:t>
        </m:r>
        <m:r>
          <m:t>c</m:t>
        </m:r>
        <m:r>
          <m:t>a</m:t>
        </m:r>
        <m:r>
          <m:t>l</m:t>
        </m:r>
        <m:r>
          <m:t>l</m:t>
        </m:r>
        <m:r>
          <m:rPr>
            <m:sty m:val="p"/>
          </m:rPr>
          <m:t>,</m:t>
        </m:r>
        <m:r>
          <m:t>m</m:t>
        </m:r>
        <m:r>
          <m:t>a</m:t>
        </m:r>
        <m:r>
          <m:t>n</m:t>
        </m:r>
        <m:r>
          <m:t>a</m:t>
        </m:r>
        <m:r>
          <m:t>g</m:t>
        </m:r>
        <m:r>
          <m:t>e</m:t>
        </m:r>
        <m:r>
          <m:t>m</m:t>
        </m:r>
        <m:r>
          <m:t>e</m:t>
        </m:r>
        <m:r>
          <m:t>n</m:t>
        </m:r>
        <m:r>
          <m:t>t</m:t>
        </m:r>
        <m:r>
          <m:t>i</m:t>
        </m:r>
        <m:r>
          <m:t>n</m:t>
        </m:r>
        <m:r>
          <m:t>d</m:t>
        </m:r>
        <m:r>
          <m:t>i</m:t>
        </m:r>
        <m:r>
          <m:t>c</m:t>
        </m:r>
        <m:r>
          <m:t>a</m:t>
        </m:r>
        <m:r>
          <m:t>t</m:t>
        </m:r>
        <m:r>
          <m:t>e</m:t>
        </m:r>
        <m:r>
          <m:t>d</m:t>
        </m:r>
        <m:r>
          <m:t>t</m:t>
        </m:r>
        <m:r>
          <m:t>h</m:t>
        </m:r>
        <m:r>
          <m:t>a</m:t>
        </m:r>
        <m:r>
          <m:t>t</m:t>
        </m:r>
        <m:r>
          <m:t>g</m:t>
        </m:r>
        <m:r>
          <m:t>a</m:t>
        </m:r>
        <m:r>
          <m:t>s</m:t>
        </m:r>
        <m:r>
          <m:t>h</m:t>
        </m:r>
        <m:r>
          <m:t>a</m:t>
        </m:r>
        <m:r>
          <m:t>d</m:t>
        </m:r>
        <m:r>
          <m:t>s</m:t>
        </m:r>
        <m:r>
          <m:t>u</m:t>
        </m:r>
        <m:r>
          <m:t>b</m:t>
        </m:r>
        <m:r>
          <m:t>s</m:t>
        </m:r>
        <m:r>
          <m:t>e</m:t>
        </m:r>
        <m:r>
          <m:t>q</m:t>
        </m:r>
        <m:r>
          <m:t>u</m:t>
        </m:r>
        <m:r>
          <m:t>e</m:t>
        </m:r>
        <m:r>
          <m:t>n</m:t>
        </m:r>
        <m:r>
          <m:t>t</m:t>
        </m:r>
        <m:r>
          <m:t>l</m:t>
        </m:r>
        <m:r>
          <m:t>y</m:t>
        </m:r>
        <m:r>
          <m:t>f</m:t>
        </m:r>
        <m:r>
          <m:t>a</m:t>
        </m:r>
        <m:r>
          <m:t>l</m:t>
        </m:r>
        <m:r>
          <m:t>l</m:t>
        </m:r>
        <m:r>
          <m:t>e</m:t>
        </m:r>
        <m:r>
          <m:t>n</m:t>
        </m:r>
        <m:r>
          <m:t>t</m:t>
        </m:r>
        <m:r>
          <m:t>o</m:t>
        </m:r>
        <m:r>
          <m:t>w</m:t>
        </m:r>
        <m:r>
          <m:t>a</m:t>
        </m:r>
        <m:r>
          <m:t>r</m:t>
        </m:r>
        <m:r>
          <m:t>d</m:t>
        </m:r>
        <m:r>
          <m:t>t</m:t>
        </m:r>
        <m:r>
          <m:t>h</m:t>
        </m:r>
        <m:r>
          <m:t>e</m:t>
        </m:r>
        <m:r>
          <m:t>m</m:t>
        </m:r>
        <m:r>
          <m:t>i</m:t>
        </m:r>
        <m:r>
          <m:t>d</m:t>
        </m:r>
        <m:r>
          <m:rPr>
            <m:sty m:val="p"/>
          </m:rPr>
          <m:t>−</m:t>
        </m:r>
      </m:oMath>
      <w:r>
        <w:t xml:space="preserve">2 range and that CF remained largely open to prevailing market prices rather than materially hedged.</w:t>
      </w:r>
    </w:p>
    <w:p>
      <w:pPr>
        <w:pStyle w:val="BodyText"/>
      </w:pPr>
      <w:r>
        <w:t xml:space="preserve">That creates a favorable Q2 margin setup:</w:t>
      </w:r>
    </w:p>
    <w:p>
      <w:pPr>
        <w:pStyle w:val="Compact"/>
        <w:numPr>
          <w:ilvl w:val="0"/>
          <w:numId w:val="1003"/>
        </w:numPr>
      </w:pPr>
      <w:r>
        <w:t xml:space="preserve">Nitrogen selling prices rose.</w:t>
      </w:r>
    </w:p>
    <w:p>
      <w:pPr>
        <w:pStyle w:val="Compact"/>
        <w:numPr>
          <w:ilvl w:val="0"/>
          <w:numId w:val="1003"/>
        </w:numPr>
      </w:pPr>
      <w:r>
        <w:t xml:space="preserve">North American gas costs should decline sequentially.</w:t>
      </w:r>
    </w:p>
    <w:p>
      <w:pPr>
        <w:pStyle w:val="Compact"/>
        <w:numPr>
          <w:ilvl w:val="0"/>
          <w:numId w:val="1003"/>
        </w:numPr>
      </w:pPr>
      <w:r>
        <w:t xml:space="preserve">CF’s North American assets should retain a substantial feedstock advantage over many European and Asian producers.</w:t>
      </w:r>
    </w:p>
    <w:p>
      <w:pPr>
        <w:pStyle w:val="FirstParagraph"/>
      </w:pPr>
      <w:r>
        <w:t xml:space="preserve">The key disclosed number will be</w:t>
      </w:r>
      <w:r>
        <w:t xml:space="preserve"> </w:t>
      </w:r>
      <w:r>
        <w:rPr>
          <w:b/>
          <w:bCs/>
        </w:rPr>
        <w:t xml:space="preserve">natural gas used in cost of sales</w:t>
      </w:r>
      <w:r>
        <w:t xml:space="preserve">, rather than quarter-end Henry Hub prices. Inventory accounting and transportation costs can cause reported gas costs to lag spot markets.</w:t>
      </w:r>
    </w:p>
    <w:bookmarkEnd w:id="16"/>
    <w:bookmarkStart w:id="17" w:name="X98b776a50a35c59b736134d90c112a6df71ac68"/>
    <w:p>
      <w:pPr>
        <w:pStyle w:val="Heading3"/>
      </w:pPr>
      <w:r>
        <w:t xml:space="preserve">3. Volumes, maintenance and the Yazoo City outage</w:t>
      </w:r>
    </w:p>
    <w:p>
      <w:pPr>
        <w:pStyle w:val="FirstParagraph"/>
      </w:pPr>
      <w:r>
        <w:t xml:space="preserve">CF entered Q2 with strong operating momentum, producing roughly</w:t>
      </w:r>
      <w:r>
        <w:t xml:space="preserve"> </w:t>
      </w:r>
      <w:r>
        <w:rPr>
          <w:b/>
          <w:bCs/>
        </w:rPr>
        <w:t xml:space="preserve">2.5 million tons of gross ammonia in Q1</w:t>
      </w:r>
      <w:r>
        <w:t xml:space="preserve">, or more than 99% of available capacity excluding Yazoo City. The company also delayed a Donaldsonville turnaround from late May until late June, enabling approximately 100,000 additional tons of urea production for the spring season.</w:t>
      </w:r>
    </w:p>
    <w:p>
      <w:pPr>
        <w:pStyle w:val="BodyText"/>
      </w:pPr>
      <w:r>
        <w:t xml:space="preserve">That should support Q2 sales, but it also creates a maintenance headwind late in the quarter.</w:t>
      </w:r>
    </w:p>
    <w:p>
      <w:pPr>
        <w:pStyle w:val="BodyText"/>
      </w:pPr>
      <w:r>
        <w:t xml:space="preserve">The largest operational constraint remains</w:t>
      </w:r>
      <w:r>
        <w:t xml:space="preserve"> </w:t>
      </w:r>
      <w:r>
        <w:rPr>
          <w:b/>
          <w:bCs/>
        </w:rPr>
        <w:t xml:space="preserve">Yazoo City</w:t>
      </w:r>
      <w:r>
        <w:t xml:space="preserve">. Management previously guided to approximately</w:t>
      </w:r>
      <w:r>
        <w:t xml:space="preserve"> </w:t>
      </w:r>
      <w:r>
        <w:rPr>
          <w:b/>
          <w:bCs/>
        </w:rPr>
        <w:t xml:space="preserve">9.5 million tons of 2026 gross ammonia production</w:t>
      </w:r>
      <w:r>
        <w:t xml:space="preserve"> </w:t>
      </w:r>
      <w:r>
        <w:t xml:space="preserve">and said Yazoo City was not expected to restart before late Q4 at the earliest. The outage particularly affects:</w:t>
      </w:r>
    </w:p>
    <w:p>
      <w:pPr>
        <w:pStyle w:val="Compact"/>
        <w:numPr>
          <w:ilvl w:val="0"/>
          <w:numId w:val="1004"/>
        </w:numPr>
      </w:pPr>
      <w:r>
        <w:t xml:space="preserve">Ammonium nitrate;</w:t>
      </w:r>
    </w:p>
    <w:p>
      <w:pPr>
        <w:pStyle w:val="Compact"/>
        <w:numPr>
          <w:ilvl w:val="0"/>
          <w:numId w:val="1004"/>
        </w:numPr>
      </w:pPr>
      <w:r>
        <w:t xml:space="preserve">Diesel exhaust fluid and other downstream products;</w:t>
      </w:r>
    </w:p>
    <w:p>
      <w:pPr>
        <w:pStyle w:val="Compact"/>
        <w:numPr>
          <w:ilvl w:val="0"/>
          <w:numId w:val="1004"/>
        </w:numPr>
      </w:pPr>
      <w:r>
        <w:t xml:space="preserve">Fixed-cost absorption; and</w:t>
      </w:r>
    </w:p>
    <w:p>
      <w:pPr>
        <w:pStyle w:val="Compact"/>
        <w:numPr>
          <w:ilvl w:val="0"/>
          <w:numId w:val="1004"/>
        </w:numPr>
      </w:pPr>
      <w:r>
        <w:t xml:space="preserve">Maintenance and repair expense.</w:t>
      </w:r>
    </w:p>
    <w:p>
      <w:pPr>
        <w:pStyle w:val="FirstParagraph"/>
      </w:pPr>
      <w:r>
        <w:t xml:space="preserve">Any change in the restart schedule could matter more than modest upside or downside in Q2 production.</w:t>
      </w:r>
    </w:p>
    <w:p>
      <w:r>
        <w:pict>
          <v:rect style="width:0;height:1.5pt" o:hralign="center" o:hrstd="t" o:hr="t"/>
        </w:pict>
      </w:r>
    </w:p>
    <w:bookmarkEnd w:id="17"/>
    <w:bookmarkEnd w:id="18"/>
    <w:bookmarkStart w:id="21" w:name="Xbc023c3aee9062b9b1080cd272bfaf453767df5"/>
    <w:p>
      <w:pPr>
        <w:pStyle w:val="Heading2"/>
      </w:pPr>
      <w:r>
        <w:t xml:space="preserve">The most important issue: does the “higher for longer” thesis survive?</w:t>
      </w:r>
    </w:p>
    <w:p>
      <w:pPr>
        <w:pStyle w:val="FirstParagraph"/>
      </w:pPr>
      <w:r>
        <w:t xml:space="preserve">On the Q1 call, management argued that supply disruptions had permanently altered the nitrogen industry’s risk framework. Its position was that low feedstock costs alone are no longer sufficient: geopolitical exposure, freight, insurance and supply reliability should raise the price required to justify new global nitrogen capacity.</w:t>
      </w:r>
    </w:p>
    <w:p>
      <w:pPr>
        <w:pStyle w:val="BodyText"/>
      </w:pPr>
      <w:r>
        <w:t xml:space="preserve">CF consequently expected tight conditions to extend through 2026 and into 2027.</w:t>
      </w:r>
    </w:p>
    <w:p>
      <w:pPr>
        <w:pStyle w:val="BodyText"/>
      </w:pPr>
      <w:r>
        <w:t xml:space="preserve">That thesis will face a significant test on this call. China’s return to exports helped drive bids in an Indian urea tender down toward roughly $450 per metric ton in June, well below April crisis levels. Meanwhile, an emerging Iran-Oman arrangement could begin restoring Hormuz shipping, although execution and the timing of normalized trade flows remain uncertain. (</w:t>
      </w:r>
      <w:hyperlink r:id="rId19">
        <w:r>
          <w:rPr>
            <w:rStyle w:val="Hyperlink"/>
          </w:rPr>
          <w:t xml:space="preserve">m.economictimes.com</w:t>
        </w:r>
      </w:hyperlink>
      <w:r>
        <w:t xml:space="preserve">)</w:t>
      </w:r>
    </w:p>
    <w:bookmarkStart w:id="20" w:name="questions-investors-need-answered"/>
    <w:p>
      <w:pPr>
        <w:pStyle w:val="Heading3"/>
      </w:pPr>
      <w:r>
        <w:t xml:space="preserve">Questions investors need answered</w:t>
      </w:r>
    </w:p>
    <w:p>
      <w:pPr>
        <w:pStyle w:val="Compact"/>
        <w:numPr>
          <w:ilvl w:val="0"/>
          <w:numId w:val="1005"/>
        </w:numPr>
      </w:pPr>
      <w:r>
        <w:t xml:space="preserve">Does CF still expect nitrogen markets to remain tight through 2027?</w:t>
      </w:r>
    </w:p>
    <w:p>
      <w:pPr>
        <w:pStyle w:val="Compact"/>
        <w:numPr>
          <w:ilvl w:val="0"/>
          <w:numId w:val="1005"/>
        </w:numPr>
      </w:pPr>
      <w:r>
        <w:t xml:space="preserve">How much damaged or idled Middle Eastern capacity has returned?</w:t>
      </w:r>
    </w:p>
    <w:p>
      <w:pPr>
        <w:pStyle w:val="Compact"/>
        <w:numPr>
          <w:ilvl w:val="0"/>
          <w:numId w:val="1005"/>
        </w:numPr>
      </w:pPr>
      <w:r>
        <w:t xml:space="preserve">How quickly could normalized Hormuz traffic restore urea, ammonia and LNG flows?</w:t>
      </w:r>
    </w:p>
    <w:p>
      <w:pPr>
        <w:pStyle w:val="Compact"/>
        <w:numPr>
          <w:ilvl w:val="0"/>
          <w:numId w:val="1005"/>
        </w:numPr>
      </w:pPr>
      <w:r>
        <w:t xml:space="preserve">How much Chinese urea could enter export markets during the remainder of 2026?</w:t>
      </w:r>
    </w:p>
    <w:p>
      <w:pPr>
        <w:pStyle w:val="Compact"/>
        <w:numPr>
          <w:ilvl w:val="0"/>
          <w:numId w:val="1005"/>
        </w:numPr>
      </w:pPr>
      <w:r>
        <w:t xml:space="preserve">Does India still require 10–12 million metric tons of 2026 urea imports?</w:t>
      </w:r>
    </w:p>
    <w:p>
      <w:pPr>
        <w:pStyle w:val="Compact"/>
        <w:numPr>
          <w:ilvl w:val="0"/>
          <w:numId w:val="1005"/>
        </w:numPr>
      </w:pPr>
      <w:r>
        <w:t xml:space="preserve">Where does management see the new mid-cycle urea price?</w:t>
      </w:r>
    </w:p>
    <w:p>
      <w:pPr>
        <w:pStyle w:val="Compact"/>
        <w:numPr>
          <w:ilvl w:val="0"/>
          <w:numId w:val="1005"/>
        </w:numPr>
      </w:pPr>
      <w:r>
        <w:t xml:space="preserve">Are current North American summer-fill prices consistent with the structural bull case?</w:t>
      </w:r>
    </w:p>
    <w:p>
      <w:pPr>
        <w:pStyle w:val="FirstParagraph"/>
      </w:pPr>
      <w:r>
        <w:t xml:space="preserve">A good answer would distinguish between a moderation from crisis pricing and a full return to the old cycle. CF does not need spot prices to remain at their peak to produce strong cash flow; it does need the market to believe that normalized margins remain structurally above their pre-crisis baseline.</w:t>
      </w:r>
    </w:p>
    <w:p>
      <w:r>
        <w:pict>
          <v:rect style="width:0;height:1.5pt" o:hralign="center" o:hrstd="t" o:hr="t"/>
        </w:pict>
      </w:r>
    </w:p>
    <w:bookmarkEnd w:id="20"/>
    <w:bookmarkEnd w:id="21"/>
    <w:bookmarkStart w:id="23" w:name="earnings-quality-and-comparability"/>
    <w:p>
      <w:pPr>
        <w:pStyle w:val="Heading2"/>
      </w:pPr>
      <w:r>
        <w:t xml:space="preserve">Earnings quality and comparability</w:t>
      </w:r>
    </w:p>
    <w:p>
      <w:pPr>
        <w:pStyle w:val="FirstParagraph"/>
      </w:pPr>
      <w:r>
        <w:t xml:space="preserve">Q1’s headline figures require care. CF reported:</w:t>
      </w:r>
    </w:p>
    <w:p>
      <w:pPr>
        <w:pStyle w:val="Compact"/>
        <w:numPr>
          <w:ilvl w:val="0"/>
          <w:numId w:val="1006"/>
        </w:numPr>
      </w:pPr>
      <w:r>
        <w:t xml:space="preserve">Net income attributable to common shareholders of</w:t>
      </w:r>
      <w:r>
        <w:t xml:space="preserve"> </w:t>
      </w:r>
      <w:r>
        <w:rPr>
          <w:b/>
          <w:bCs/>
        </w:rPr>
        <w:t xml:space="preserve">$615 million</w:t>
      </w:r>
      <w:r>
        <w:t xml:space="preserve">;</w:t>
      </w:r>
    </w:p>
    <w:p>
      <w:pPr>
        <w:pStyle w:val="Compact"/>
        <w:numPr>
          <w:ilvl w:val="0"/>
          <w:numId w:val="1006"/>
        </w:numPr>
      </w:pPr>
      <w:r>
        <w:t xml:space="preserve">Diluted EPS of</w:t>
      </w:r>
      <w:r>
        <w:t xml:space="preserve"> </w:t>
      </w:r>
      <w:r>
        <w:rPr>
          <w:b/>
          <w:bCs/>
        </w:rPr>
        <w:t xml:space="preserve">$3.98</w:t>
      </w:r>
      <w:r>
        <w:t xml:space="preserve">; and</w:t>
      </w:r>
    </w:p>
    <w:p>
      <w:pPr>
        <w:pStyle w:val="Compact"/>
        <w:numPr>
          <w:ilvl w:val="0"/>
          <w:numId w:val="1006"/>
        </w:numPr>
      </w:pPr>
      <w:r>
        <w:t xml:space="preserve">Adjusted EBITDA of</w:t>
      </w:r>
      <w:r>
        <w:t xml:space="preserve"> </w:t>
      </w:r>
      <w:r>
        <w:rPr>
          <w:b/>
          <w:bCs/>
        </w:rPr>
        <w:t xml:space="preserve">$983 million</w:t>
      </w:r>
      <w:r>
        <w:t xml:space="preserve">.</w:t>
      </w:r>
    </w:p>
    <w:p>
      <w:pPr>
        <w:pStyle w:val="FirstParagraph"/>
      </w:pPr>
      <w:r>
        <w:t xml:space="preserve">But Q1 results included an approximately</w:t>
      </w:r>
      <w:r>
        <w:t xml:space="preserve"> </w:t>
      </w:r>
      <w:r>
        <w:rPr>
          <w:b/>
          <w:bCs/>
        </w:rPr>
        <w:t xml:space="preserve">$170 million litigation-settlement gain</w:t>
      </w:r>
      <w:r>
        <w:t xml:space="preserve">. The company received the cash in April, meaning it should benefit Q2 operating cash flow even though the gain was recognized in Q1. CF also recorded property-damage insurance recoveries.</w:t>
      </w:r>
    </w:p>
    <w:p>
      <w:pPr>
        <w:pStyle w:val="BodyText"/>
      </w:pPr>
      <w:r>
        <w:t xml:space="preserve">Investors should therefore avoid simply comparing Q2 EBITDA or cash flow with Q1 without adjusting for:</w:t>
      </w:r>
    </w:p>
    <w:p>
      <w:pPr>
        <w:pStyle w:val="Compact"/>
        <w:numPr>
          <w:ilvl w:val="0"/>
          <w:numId w:val="1007"/>
        </w:numPr>
      </w:pPr>
      <w:r>
        <w:t xml:space="preserve">The litigation settlement;</w:t>
      </w:r>
    </w:p>
    <w:p>
      <w:pPr>
        <w:pStyle w:val="Compact"/>
        <w:numPr>
          <w:ilvl w:val="0"/>
          <w:numId w:val="1007"/>
        </w:numPr>
      </w:pPr>
      <w:r>
        <w:t xml:space="preserve">Insurance recoveries;</w:t>
      </w:r>
    </w:p>
    <w:p>
      <w:pPr>
        <w:pStyle w:val="Compact"/>
        <w:numPr>
          <w:ilvl w:val="0"/>
          <w:numId w:val="1007"/>
        </w:numPr>
      </w:pPr>
      <w:r>
        <w:t xml:space="preserve">45Q tax benefits;</w:t>
      </w:r>
    </w:p>
    <w:p>
      <w:pPr>
        <w:pStyle w:val="Compact"/>
        <w:numPr>
          <w:ilvl w:val="0"/>
          <w:numId w:val="1007"/>
        </w:numPr>
      </w:pPr>
      <w:r>
        <w:t xml:space="preserve">Blue Point spending and partner contributions; and</w:t>
      </w:r>
    </w:p>
    <w:p>
      <w:pPr>
        <w:pStyle w:val="Compact"/>
        <w:numPr>
          <w:ilvl w:val="0"/>
          <w:numId w:val="1007"/>
        </w:numPr>
      </w:pPr>
      <w:r>
        <w:t xml:space="preserve">Seasonal changes in working capital.</w:t>
      </w:r>
    </w:p>
    <w:p>
      <w:pPr>
        <w:pStyle w:val="FirstParagraph"/>
      </w:pPr>
      <w:r>
        <w:t xml:space="preserve">The April settlement proceeds could make Q2 cash generation look especially strong without representing recurring nitrogen earnings. (</w:t>
      </w:r>
      <w:hyperlink r:id="rId22">
        <w:r>
          <w:rPr>
            <w:rStyle w:val="Hyperlink"/>
          </w:rPr>
          <w:t xml:space="preserve">cfindustries.q4ir.com</w:t>
        </w:r>
      </w:hyperlink>
      <w:r>
        <w:t xml:space="preserve">)</w:t>
      </w:r>
    </w:p>
    <w:p>
      <w:r>
        <w:pict>
          <v:rect style="width:0;height:1.5pt" o:hralign="center" o:hrstd="t" o:hr="t"/>
        </w:pict>
      </w:r>
    </w:p>
    <w:bookmarkEnd w:id="23"/>
    <w:bookmarkStart w:id="26" w:name="X18f8943afe3d90c69bdf11ccd25c61cd8f8a33f"/>
    <w:p>
      <w:pPr>
        <w:pStyle w:val="Heading2"/>
      </w:pPr>
      <w:r>
        <w:t xml:space="preserve">Capital allocation could be a swing factor</w:t>
      </w:r>
    </w:p>
    <w:p>
      <w:pPr>
        <w:pStyle w:val="FirstParagraph"/>
      </w:pPr>
      <w:r>
        <w:t xml:space="preserve">CF repurchased only about</w:t>
      </w:r>
      <w:r>
        <w:t xml:space="preserve"> </w:t>
      </w:r>
      <m:oMath>
        <m:r>
          <m:t>15</m:t>
        </m:r>
        <m:r>
          <m:t>m</m:t>
        </m:r>
        <m:r>
          <m:t>i</m:t>
        </m:r>
        <m:r>
          <m:t>l</m:t>
        </m:r>
        <m:r>
          <m:t>l</m:t>
        </m:r>
        <m:r>
          <m:t>i</m:t>
        </m:r>
        <m:r>
          <m:t>o</m:t>
        </m:r>
        <m:r>
          <m:t>n</m:t>
        </m:r>
        <m:r>
          <m:rPr>
            <m:sty m:val="p"/>
          </m:rPr>
          <m:t>*</m:t>
        </m:r>
        <m:r>
          <m:rPr>
            <m:sty m:val="p"/>
          </m:rPr>
          <m:t>*</m:t>
        </m:r>
        <m:r>
          <m:t>o</m:t>
        </m:r>
        <m:r>
          <m:t>f</m:t>
        </m:r>
        <m:r>
          <m:t>s</m:t>
        </m:r>
        <m:r>
          <m:t>t</m:t>
        </m:r>
        <m:r>
          <m:t>o</m:t>
        </m:r>
        <m:r>
          <m:t>c</m:t>
        </m:r>
        <m:r>
          <m:t>k</m:t>
        </m:r>
        <m:r>
          <m:t>i</m:t>
        </m:r>
        <m:r>
          <m:t>n</m:t>
        </m:r>
        <m:r>
          <m:t>Q</m:t>
        </m:r>
        <m:r>
          <m:t>1</m:t>
        </m:r>
        <m:r>
          <m:rPr>
            <m:sty m:val="p"/>
          </m:rPr>
          <m:t>,</m:t>
        </m:r>
        <m:r>
          <m:t>d</m:t>
        </m:r>
        <m:r>
          <m:t>e</m:t>
        </m:r>
        <m:r>
          <m:t>s</m:t>
        </m:r>
        <m:r>
          <m:t>p</m:t>
        </m:r>
        <m:r>
          <m:t>i</m:t>
        </m:r>
        <m:r>
          <m:t>t</m:t>
        </m:r>
        <m:r>
          <m:t>e</m:t>
        </m:r>
        <m:r>
          <m:t>e</m:t>
        </m:r>
        <m:r>
          <m:t>n</m:t>
        </m:r>
        <m:r>
          <m:t>d</m:t>
        </m:r>
        <m:r>
          <m:t>i</m:t>
        </m:r>
        <m:r>
          <m:t>n</m:t>
        </m:r>
        <m:r>
          <m:t>g</m:t>
        </m:r>
        <m:r>
          <m:t>M</m:t>
        </m:r>
        <m:r>
          <m:t>a</m:t>
        </m:r>
        <m:r>
          <m:t>r</m:t>
        </m:r>
        <m:r>
          <m:t>c</m:t>
        </m:r>
        <m:r>
          <m:t>h</m:t>
        </m:r>
        <m:r>
          <m:t>w</m:t>
        </m:r>
        <m:r>
          <m:t>i</m:t>
        </m:r>
        <m:r>
          <m:t>t</m:t>
        </m:r>
        <m:r>
          <m:t>h</m:t>
        </m:r>
        <m:r>
          <m:t>a</m:t>
        </m:r>
        <m:r>
          <m:t>p</m:t>
        </m:r>
        <m:r>
          <m:t>p</m:t>
        </m:r>
        <m:r>
          <m:t>r</m:t>
        </m:r>
        <m:r>
          <m:t>o</m:t>
        </m:r>
        <m:r>
          <m:t>x</m:t>
        </m:r>
        <m:r>
          <m:t>i</m:t>
        </m:r>
        <m:r>
          <m:t>m</m:t>
        </m:r>
        <m:r>
          <m:t>a</m:t>
        </m:r>
        <m:r>
          <m:t>t</m:t>
        </m:r>
        <m:r>
          <m:t>e</m:t>
        </m:r>
        <m:r>
          <m:t>l</m:t>
        </m:r>
        <m:r>
          <m:t>y</m:t>
        </m:r>
        <m:r>
          <m:rPr>
            <m:sty m:val="p"/>
          </m:rPr>
          <m:t>*</m:t>
        </m:r>
        <m:r>
          <m:rPr>
            <m:sty m:val="p"/>
          </m:rPr>
          <m:t>*</m:t>
        </m:r>
      </m:oMath>
      <w:r>
        <w:rPr>
          <w:b/>
          <w:bCs/>
        </w:rPr>
        <w:t xml:space="preserve">1.7 billion remaining</w:t>
      </w:r>
      <w:r>
        <w:t xml:space="preserve"> </w:t>
      </w:r>
      <w:r>
        <w:t xml:space="preserve">under its authorization. Management attributed the low activity partly to how its repurchase grid was positioned when the Iran conflict escalated and reiterated that it considered the shares undervalued.</w:t>
      </w:r>
    </w:p>
    <w:p>
      <w:pPr>
        <w:pStyle w:val="BodyText"/>
      </w:pPr>
      <w:r>
        <w:t xml:space="preserve">That puts extra attention on the Q2 buyback.</w:t>
      </w:r>
    </w:p>
    <w:bookmarkStart w:id="24" w:name="bullish-signal"/>
    <w:p>
      <w:pPr>
        <w:pStyle w:val="Heading3"/>
      </w:pPr>
      <w:r>
        <w:t xml:space="preserve">Bullish signal</w:t>
      </w:r>
    </w:p>
    <w:p>
      <w:pPr>
        <w:pStyle w:val="Compact"/>
        <w:numPr>
          <w:ilvl w:val="0"/>
          <w:numId w:val="1008"/>
        </w:numPr>
      </w:pPr>
      <w:r>
        <w:t xml:space="preserve">A material acceleration in repurchases.</w:t>
      </w:r>
    </w:p>
    <w:p>
      <w:pPr>
        <w:pStyle w:val="Compact"/>
        <w:numPr>
          <w:ilvl w:val="0"/>
          <w:numId w:val="1008"/>
        </w:numPr>
      </w:pPr>
      <w:r>
        <w:t xml:space="preserve">Continued commitment to completing the authorization.</w:t>
      </w:r>
    </w:p>
    <w:p>
      <w:pPr>
        <w:pStyle w:val="Compact"/>
        <w:numPr>
          <w:ilvl w:val="0"/>
          <w:numId w:val="1008"/>
        </w:numPr>
      </w:pPr>
      <w:r>
        <w:t xml:space="preserve">Confidence that Blue Point spending and shareholder returns can be funded simultaneously.</w:t>
      </w:r>
    </w:p>
    <w:bookmarkEnd w:id="24"/>
    <w:bookmarkStart w:id="25" w:name="potential-disappointment"/>
    <w:p>
      <w:pPr>
        <w:pStyle w:val="Heading3"/>
      </w:pPr>
      <w:r>
        <w:t xml:space="preserve">Potential disappointment</w:t>
      </w:r>
    </w:p>
    <w:p>
      <w:pPr>
        <w:pStyle w:val="Compact"/>
        <w:numPr>
          <w:ilvl w:val="0"/>
          <w:numId w:val="1009"/>
        </w:numPr>
      </w:pPr>
      <w:r>
        <w:t xml:space="preserve">Another quarter of limited repurchases despite stronger earnings and liquidity.</w:t>
      </w:r>
    </w:p>
    <w:p>
      <w:pPr>
        <w:pStyle w:val="Compact"/>
        <w:numPr>
          <w:ilvl w:val="0"/>
          <w:numId w:val="1009"/>
        </w:numPr>
      </w:pPr>
      <w:r>
        <w:t xml:space="preserve">A suggestion that the company is retaining substantially more cash because of geopolitical, construction or commodity uncertainty.</w:t>
      </w:r>
    </w:p>
    <w:p>
      <w:pPr>
        <w:pStyle w:val="FirstParagraph"/>
      </w:pPr>
      <w:r>
        <w:t xml:space="preserve">CF shares closed at</w:t>
      </w:r>
      <w:r>
        <w:t xml:space="preserve"> </w:t>
      </w:r>
      <w:r>
        <w:rPr>
          <w:b/>
          <w:bCs/>
        </w:rPr>
        <w:t xml:space="preserve">$118.14 on August 4</w:t>
      </w:r>
      <w:r>
        <w:t xml:space="preserve">, roughly flat compared with the day before the Q1 release, although the stock has been volatile. A strong buyback could help demonstrate that management sees value even after this year’s commodity-driven earnings revisions.</w:t>
      </w:r>
    </w:p>
    <w:p>
      <w:r>
        <w:pict>
          <v:rect style="width:0;height:1.5pt" o:hralign="center" o:hrstd="t" o:hr="t"/>
        </w:pict>
      </w:r>
    </w:p>
    <w:bookmarkEnd w:id="25"/>
    <w:bookmarkEnd w:id="26"/>
    <w:bookmarkStart w:id="27" w:name="blue-point-and-low-carbon-earnings"/>
    <w:p>
      <w:pPr>
        <w:pStyle w:val="Heading2"/>
      </w:pPr>
      <w:r>
        <w:t xml:space="preserve">Blue Point and low-carbon earnings</w:t>
      </w:r>
    </w:p>
    <w:p>
      <w:pPr>
        <w:pStyle w:val="FirstParagraph"/>
      </w:pPr>
      <w:r>
        <w:t xml:space="preserve">Blue Point remains CF’s principal long-term growth project. The company previously projected:</w:t>
      </w:r>
    </w:p>
    <w:p>
      <w:pPr>
        <w:pStyle w:val="Compact"/>
        <w:numPr>
          <w:ilvl w:val="0"/>
          <w:numId w:val="1010"/>
        </w:numPr>
      </w:pPr>
      <w:r>
        <w:t xml:space="preserve">Approximately</w:t>
      </w:r>
      <w:r>
        <w:t xml:space="preserve"> </w:t>
      </w:r>
      <w:r>
        <w:rPr>
          <w:b/>
          <w:bCs/>
        </w:rPr>
        <w:t xml:space="preserve">$1.3 billion of consolidated 2026 capital expenditures</w:t>
      </w:r>
      <w:r>
        <w:t xml:space="preserve">;</w:t>
      </w:r>
    </w:p>
    <w:p>
      <w:pPr>
        <w:pStyle w:val="Compact"/>
        <w:numPr>
          <w:ilvl w:val="0"/>
          <w:numId w:val="1010"/>
        </w:numPr>
      </w:pPr>
      <w:r>
        <w:t xml:space="preserve">Approximately</w:t>
      </w:r>
      <w:r>
        <w:t xml:space="preserve"> </w:t>
      </w:r>
      <w:r>
        <w:rPr>
          <w:b/>
          <w:bCs/>
        </w:rPr>
        <w:t xml:space="preserve">$950 million attributable to CF</w:t>
      </w:r>
      <w:r>
        <w:t xml:space="preserve"> </w:t>
      </w:r>
      <w:r>
        <w:t xml:space="preserve">after partner funding;</w:t>
      </w:r>
    </w:p>
    <w:p>
      <w:pPr>
        <w:pStyle w:val="Compact"/>
        <w:numPr>
          <w:ilvl w:val="0"/>
          <w:numId w:val="1010"/>
        </w:numPr>
      </w:pPr>
      <w:r>
        <w:t xml:space="preserve">Civil construction beginning in 2026, subject to permits; and</w:t>
      </w:r>
    </w:p>
    <w:p>
      <w:pPr>
        <w:pStyle w:val="Compact"/>
        <w:numPr>
          <w:ilvl w:val="0"/>
          <w:numId w:val="1010"/>
        </w:numPr>
      </w:pPr>
      <w:r>
        <w:t xml:space="preserve">Operations commencing in late 2029.</w:t>
      </w:r>
    </w:p>
    <w:p>
      <w:pPr>
        <w:pStyle w:val="FirstParagraph"/>
      </w:pPr>
      <w:r>
        <w:t xml:space="preserve">Investors should watch for:</w:t>
      </w:r>
    </w:p>
    <w:p>
      <w:pPr>
        <w:pStyle w:val="Compact"/>
        <w:numPr>
          <w:ilvl w:val="0"/>
          <w:numId w:val="1011"/>
        </w:numPr>
      </w:pPr>
      <w:r>
        <w:t xml:space="preserve">Permit receipt and the formal start of construction.</w:t>
      </w:r>
    </w:p>
    <w:p>
      <w:pPr>
        <w:pStyle w:val="Compact"/>
        <w:numPr>
          <w:ilvl w:val="0"/>
          <w:numId w:val="1011"/>
        </w:numPr>
      </w:pPr>
      <w:r>
        <w:t xml:space="preserve">Any change to the approximately $3.7 billion project-cost framework.</w:t>
      </w:r>
    </w:p>
    <w:p>
      <w:pPr>
        <w:pStyle w:val="Compact"/>
        <w:numPr>
          <w:ilvl w:val="0"/>
          <w:numId w:val="1011"/>
        </w:numPr>
      </w:pPr>
      <w:r>
        <w:t xml:space="preserve">Procurement or tariff-related inflation.</w:t>
      </w:r>
    </w:p>
    <w:p>
      <w:pPr>
        <w:pStyle w:val="Compact"/>
        <w:numPr>
          <w:ilvl w:val="0"/>
          <w:numId w:val="1011"/>
        </w:numPr>
      </w:pPr>
      <w:r>
        <w:t xml:space="preserve">Commercial contracting and low-carbon ammonia premiums.</w:t>
      </w:r>
    </w:p>
    <w:p>
      <w:pPr>
        <w:pStyle w:val="Compact"/>
        <w:numPr>
          <w:ilvl w:val="0"/>
          <w:numId w:val="1011"/>
        </w:numPr>
      </w:pPr>
      <w:r>
        <w:t xml:space="preserve">Whether management is considering a second Blue Point unit.</w:t>
      </w:r>
    </w:p>
    <w:p>
      <w:pPr>
        <w:pStyle w:val="FirstParagraph"/>
      </w:pPr>
      <w:r>
        <w:t xml:space="preserve">CF is already recognizing benefits from low-carbon production through 45Q tax credits and premium product sales. Q1 included approximately</w:t>
      </w:r>
      <w:r>
        <w:t xml:space="preserve"> </w:t>
      </w:r>
      <w:r>
        <w:rPr>
          <w:b/>
          <w:bCs/>
        </w:rPr>
        <w:t xml:space="preserve">$24 million of 45Q tax credits</w:t>
      </w:r>
      <w:r>
        <w:t xml:space="preserve">. An updated run rate would help investors value these benefits separately from cyclical fertilizer margins. (</w:t>
      </w:r>
      <w:hyperlink r:id="rId14">
        <w:r>
          <w:rPr>
            <w:rStyle w:val="Hyperlink"/>
          </w:rPr>
          <w:t xml:space="preserve">ir.cfindustries.com</w:t>
        </w:r>
      </w:hyperlink>
      <w:r>
        <w:t xml:space="preserve">)</w:t>
      </w:r>
    </w:p>
    <w:p>
      <w:r>
        <w:pict>
          <v:rect style="width:0;height:1.5pt" o:hralign="center" o:hrstd="t" o:hr="t"/>
        </w:pict>
      </w:r>
    </w:p>
    <w:bookmarkEnd w:id="27"/>
    <w:bookmarkStart w:id="31" w:name="what-constitutes-a-good-report"/>
    <w:p>
      <w:pPr>
        <w:pStyle w:val="Heading2"/>
      </w:pPr>
      <w:r>
        <w:t xml:space="preserve">What constitutes a good report?</w:t>
      </w:r>
    </w:p>
    <w:bookmarkStart w:id="28" w:name="bull-case"/>
    <w:p>
      <w:pPr>
        <w:pStyle w:val="Heading3"/>
      </w:pPr>
      <w:r>
        <w:t xml:space="preserve">Bull case</w:t>
      </w:r>
    </w:p>
    <w:p>
      <w:pPr>
        <w:pStyle w:val="Compact"/>
        <w:numPr>
          <w:ilvl w:val="0"/>
          <w:numId w:val="1012"/>
        </w:numPr>
      </w:pPr>
      <w:r>
        <w:t xml:space="preserve">EPS and revenue near or above the newest consensus figures.</w:t>
      </w:r>
    </w:p>
    <w:p>
      <w:pPr>
        <w:pStyle w:val="Compact"/>
        <w:numPr>
          <w:ilvl w:val="0"/>
          <w:numId w:val="1012"/>
        </w:numPr>
      </w:pPr>
      <w:r>
        <w:t xml:space="preserve">Stronger-than-expected urea and UAN realized prices.</w:t>
      </w:r>
    </w:p>
    <w:p>
      <w:pPr>
        <w:pStyle w:val="Compact"/>
        <w:numPr>
          <w:ilvl w:val="0"/>
          <w:numId w:val="1012"/>
        </w:numPr>
      </w:pPr>
      <w:r>
        <w:t xml:space="preserve">Meaningful sequential reduction in natural-gas costs.</w:t>
      </w:r>
    </w:p>
    <w:p>
      <w:pPr>
        <w:pStyle w:val="Compact"/>
        <w:numPr>
          <w:ilvl w:val="0"/>
          <w:numId w:val="1012"/>
        </w:numPr>
      </w:pPr>
      <w:r>
        <w:t xml:space="preserve">Reliable production outside Yazoo City.</w:t>
      </w:r>
    </w:p>
    <w:p>
      <w:pPr>
        <w:pStyle w:val="Compact"/>
        <w:numPr>
          <w:ilvl w:val="0"/>
          <w:numId w:val="1012"/>
        </w:numPr>
      </w:pPr>
      <w:r>
        <w:t xml:space="preserve">Reaffirmation of tight nitrogen conditions through 2027.</w:t>
      </w:r>
    </w:p>
    <w:p>
      <w:pPr>
        <w:pStyle w:val="Compact"/>
        <w:numPr>
          <w:ilvl w:val="0"/>
          <w:numId w:val="1012"/>
        </w:numPr>
      </w:pPr>
      <w:r>
        <w:t xml:space="preserve">Clear explanation for why reopening Hormuz will not immediately normalize supply.</w:t>
      </w:r>
    </w:p>
    <w:p>
      <w:pPr>
        <w:pStyle w:val="Compact"/>
        <w:numPr>
          <w:ilvl w:val="0"/>
          <w:numId w:val="1012"/>
        </w:numPr>
      </w:pPr>
      <w:r>
        <w:t xml:space="preserve">Accelerated share repurchases.</w:t>
      </w:r>
    </w:p>
    <w:p>
      <w:pPr>
        <w:pStyle w:val="Compact"/>
        <w:numPr>
          <w:ilvl w:val="0"/>
          <w:numId w:val="1012"/>
        </w:numPr>
      </w:pPr>
      <w:r>
        <w:t xml:space="preserve">Blue Point remains on time and on budget.</w:t>
      </w:r>
    </w:p>
    <w:bookmarkEnd w:id="28"/>
    <w:bookmarkStart w:id="29" w:name="base-case"/>
    <w:p>
      <w:pPr>
        <w:pStyle w:val="Heading3"/>
      </w:pPr>
      <w:r>
        <w:t xml:space="preserve">Base case</w:t>
      </w:r>
    </w:p>
    <w:p>
      <w:pPr>
        <w:pStyle w:val="Compact"/>
        <w:numPr>
          <w:ilvl w:val="0"/>
          <w:numId w:val="1013"/>
        </w:numPr>
      </w:pPr>
      <w:r>
        <w:t xml:space="preserve">Strong Q2 results and cash flow.</w:t>
      </w:r>
    </w:p>
    <w:p>
      <w:pPr>
        <w:pStyle w:val="Compact"/>
        <w:numPr>
          <w:ilvl w:val="0"/>
          <w:numId w:val="1013"/>
        </w:numPr>
      </w:pPr>
      <w:r>
        <w:t xml:space="preserve">Full-year production and capital-spending expectations maintained.</w:t>
      </w:r>
    </w:p>
    <w:p>
      <w:pPr>
        <w:pStyle w:val="Compact"/>
        <w:numPr>
          <w:ilvl w:val="0"/>
          <w:numId w:val="1013"/>
        </w:numPr>
      </w:pPr>
      <w:r>
        <w:t xml:space="preserve">Management acknowledges lower spot urea prices but continues to argue that industry mid-cycle economics have improved.</w:t>
      </w:r>
    </w:p>
    <w:p>
      <w:pPr>
        <w:pStyle w:val="Compact"/>
        <w:numPr>
          <w:ilvl w:val="0"/>
          <w:numId w:val="1013"/>
        </w:numPr>
      </w:pPr>
      <w:r>
        <w:t xml:space="preserve">Buybacks resume at a moderate pace.</w:t>
      </w:r>
    </w:p>
    <w:p>
      <w:pPr>
        <w:pStyle w:val="Compact"/>
        <w:numPr>
          <w:ilvl w:val="0"/>
          <w:numId w:val="1013"/>
        </w:numPr>
      </w:pPr>
      <w:r>
        <w:t xml:space="preserve">Shares react primarily to Q3 pricing commentary rather than Q2 EPS.</w:t>
      </w:r>
    </w:p>
    <w:bookmarkEnd w:id="29"/>
    <w:bookmarkStart w:id="30" w:name="bear-case"/>
    <w:p>
      <w:pPr>
        <w:pStyle w:val="Heading3"/>
      </w:pPr>
      <w:r>
        <w:t xml:space="preserve">Bear case</w:t>
      </w:r>
    </w:p>
    <w:p>
      <w:pPr>
        <w:pStyle w:val="Compact"/>
        <w:numPr>
          <w:ilvl w:val="0"/>
          <w:numId w:val="1014"/>
        </w:numPr>
      </w:pPr>
      <w:r>
        <w:t xml:space="preserve">A headline earnings beat accompanied by cautious second-half pricing commentary.</w:t>
      </w:r>
    </w:p>
    <w:p>
      <w:pPr>
        <w:pStyle w:val="Compact"/>
        <w:numPr>
          <w:ilvl w:val="0"/>
          <w:numId w:val="1014"/>
        </w:numPr>
      </w:pPr>
      <w:r>
        <w:t xml:space="preserve">Faster restoration of Middle Eastern production and trade flows than previously anticipated.</w:t>
      </w:r>
    </w:p>
    <w:p>
      <w:pPr>
        <w:pStyle w:val="Compact"/>
        <w:numPr>
          <w:ilvl w:val="0"/>
          <w:numId w:val="1014"/>
        </w:numPr>
      </w:pPr>
      <w:r>
        <w:t xml:space="preserve">Larger or less-controlled Chinese exports.</w:t>
      </w:r>
    </w:p>
    <w:p>
      <w:pPr>
        <w:pStyle w:val="Compact"/>
        <w:numPr>
          <w:ilvl w:val="0"/>
          <w:numId w:val="1014"/>
        </w:numPr>
      </w:pPr>
      <w:r>
        <w:t xml:space="preserve">Yazoo restart pushed into 2027.</w:t>
      </w:r>
    </w:p>
    <w:p>
      <w:pPr>
        <w:pStyle w:val="Compact"/>
        <w:numPr>
          <w:ilvl w:val="0"/>
          <w:numId w:val="1014"/>
        </w:numPr>
      </w:pPr>
      <w:r>
        <w:t xml:space="preserve">Elevated maintenance or weak sales volumes offsetting pricing.</w:t>
      </w:r>
    </w:p>
    <w:p>
      <w:pPr>
        <w:pStyle w:val="Compact"/>
        <w:numPr>
          <w:ilvl w:val="0"/>
          <w:numId w:val="1014"/>
        </w:numPr>
      </w:pPr>
      <w:r>
        <w:t xml:space="preserve">Another light buyback quarter.</w:t>
      </w:r>
    </w:p>
    <w:p>
      <w:pPr>
        <w:pStyle w:val="Compact"/>
        <w:numPr>
          <w:ilvl w:val="0"/>
          <w:numId w:val="1014"/>
        </w:numPr>
      </w:pPr>
      <w:r>
        <w:t xml:space="preserve">Higher Blue Point costs or construction delays.</w:t>
      </w:r>
    </w:p>
    <w:p>
      <w:r>
        <w:pict>
          <v:rect style="width:0;height:1.5pt" o:hralign="center" o:hrstd="t" o:hr="t"/>
        </w:pict>
      </w:r>
    </w:p>
    <w:bookmarkEnd w:id="30"/>
    <w:bookmarkEnd w:id="31"/>
    <w:bookmarkStart w:id="32" w:name="bottom-line"/>
    <w:p>
      <w:pPr>
        <w:pStyle w:val="Heading2"/>
      </w:pPr>
      <w:r>
        <w:t xml:space="preserve">Bottom line</w:t>
      </w:r>
    </w:p>
    <w:p>
      <w:pPr>
        <w:pStyle w:val="FirstParagraph"/>
      </w:pPr>
      <w:r>
        <w:t xml:space="preserve">CF’s Q2 numbers should be excellent. The company had the unusual combination of</w:t>
      </w:r>
      <w:r>
        <w:t xml:space="preserve"> </w:t>
      </w:r>
      <w:r>
        <w:rPr>
          <w:b/>
          <w:bCs/>
        </w:rPr>
        <w:t xml:space="preserve">higher nitrogen prices, strong spring demand and declining sequential feedstock costs</w:t>
      </w:r>
      <w:r>
        <w:t xml:space="preserve">.</w:t>
      </w:r>
    </w:p>
    <w:p>
      <w:pPr>
        <w:pStyle w:val="BodyText"/>
      </w:pPr>
      <w:r>
        <w:t xml:space="preserve">But the investment question has already moved beyond Q2:</w:t>
      </w:r>
    </w:p>
    <w:p>
      <w:pPr>
        <w:pStyle w:val="BlockText"/>
      </w:pPr>
      <w:r>
        <w:rPr>
          <w:b/>
          <w:bCs/>
        </w:rPr>
        <w:t xml:space="preserve">How much of the 2026 geopolitical windfall is temporary, and how much represents a durable upward reset in nitrogen-industry earnings?</w:t>
      </w:r>
    </w:p>
    <w:p>
      <w:pPr>
        <w:pStyle w:val="FirstParagraph"/>
      </w:pPr>
      <w:r>
        <w:t xml:space="preserve">If management maintains its 2027 tightness outlook, supports it with evidence on constrained production and trade flows, and accelerates buybacks, the report should reinforce the bull case. If management pivots toward normalization because of Chinese exports and a possible Hormuz reopening, even a substantial Q2 beat may not be enough to drive the shares higher.</w:t>
      </w:r>
    </w:p>
    <w:bookmarkEnd w:id="32"/>
    <w:bookmarkEnd w:id="3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 w:numId="1009">
    <w:abstractNumId w:val="991"/>
  </w:num>
  <w:num w:numId="1010">
    <w:abstractNumId w:val="991"/>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1"/>
  </w:num>
  <w:num w:numId="1013">
    <w:abstractNumId w:val="991"/>
  </w:num>
  <w:num w:numId="101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22" Target="https://cfindustries.q4ir.com/Investors/financials/quarterly-results/default.aspx?utm_source=openai" TargetMode="External" /><Relationship Type="http://schemas.openxmlformats.org/officeDocument/2006/relationships/hyperlink" Id="rId14" Target="https://ir.cfindustries.com/Investors/financials/quarterly-results/default.aspx?utm_source=openai" TargetMode="External" /><Relationship Type="http://schemas.openxmlformats.org/officeDocument/2006/relationships/hyperlink" Id="rId19" Target="https://m.economictimes.com/industry/indl-goods/svs/chem-/-fertilisers/urea-imports-may-get-50-cheaper-before-kharif-season-as-china-eases-supplies/amp_articleshow/131642357.cms?utm_source=openai" TargetMode="External" /><Relationship Type="http://schemas.openxmlformats.org/officeDocument/2006/relationships/hyperlink" Id="rId9" Target="https://www.benzinga.com/quote/CF/earnings?utm_source=openai" TargetMode="External" /><Relationship Type="http://schemas.openxmlformats.org/officeDocument/2006/relationships/hyperlink" Id="rId12" Target="https://www.boursorama.com/cours/consensus/CF/?utm_source=openai" TargetMode="External" /><Relationship Type="http://schemas.openxmlformats.org/officeDocument/2006/relationships/hyperlink" Id="rId10" Target="https://www.spglobal.com/energy/en/news-research/latest-news/agriculture/052726-participants-doubt-indian-tender-will-reverse-bearishness-in-urea-markets?utm_source=openai" TargetMode="External" /></Relationships>
</file>

<file path=word/_rels/footnotes.xml.rels><?xml version="1.0" encoding="UTF-8"?><Relationships xmlns="http://schemas.openxmlformats.org/package/2006/relationships"><Relationship Type="http://schemas.openxmlformats.org/officeDocument/2006/relationships/hyperlink" Id="rId22" Target="https://cfindustries.q4ir.com/Investors/financials/quarterly-results/default.aspx?utm_source=openai" TargetMode="External" /><Relationship Type="http://schemas.openxmlformats.org/officeDocument/2006/relationships/hyperlink" Id="rId14" Target="https://ir.cfindustries.com/Investors/financials/quarterly-results/default.aspx?utm_source=openai" TargetMode="External" /><Relationship Type="http://schemas.openxmlformats.org/officeDocument/2006/relationships/hyperlink" Id="rId19" Target="https://m.economictimes.com/industry/indl-goods/svs/chem-/-fertilisers/urea-imports-may-get-50-cheaper-before-kharif-season-as-china-eases-supplies/amp_articleshow/131642357.cms?utm_source=openai" TargetMode="External" /><Relationship Type="http://schemas.openxmlformats.org/officeDocument/2006/relationships/hyperlink" Id="rId9" Target="https://www.benzinga.com/quote/CF/earnings?utm_source=openai" TargetMode="External" /><Relationship Type="http://schemas.openxmlformats.org/officeDocument/2006/relationships/hyperlink" Id="rId12" Target="https://www.boursorama.com/cours/consensus/CF/?utm_source=openai" TargetMode="External" /><Relationship Type="http://schemas.openxmlformats.org/officeDocument/2006/relationships/hyperlink" Id="rId10" Target="https://www.spglobal.com/energy/en/news-research/latest-news/agriculture/052726-participants-doubt-indian-tender-will-reverse-bearishness-in-urea-markets?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2026-08-05T01:31:12Z</dcterms:created>
  <dcterms:modified xsi:type="dcterms:W3CDTF">2026-08-05T01:31:12Z</dcterms:modified>
</cp:coreProperties>
</file>

<file path=docProps/custom.xml><?xml version="1.0" encoding="utf-8"?>
<Properties xmlns="http://schemas.openxmlformats.org/officeDocument/2006/custom-properties" xmlns:vt="http://schemas.openxmlformats.org/officeDocument/2006/docPropsVTypes"/>
</file>