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a54739e95fb1bc456c6eee5bf122d74656063ba"/>
    <w:p>
      <w:pPr>
        <w:pStyle w:val="Heading1"/>
      </w:pPr>
      <w:r>
        <w:t xml:space="preserve">CF Industries (NYSE: CF) — 2Q26 Earnings Preview</w:t>
      </w:r>
    </w:p>
    <w:p>
      <w:pPr>
        <w:pStyle w:val="BlockText"/>
      </w:pPr>
      <w:r>
        <w:rPr>
          <w:b/>
          <w:bCs/>
        </w:rPr>
        <w:t xml:space="preserve">Date clarification:</w:t>
      </w:r>
      <w:r>
        <w:t xml:space="preserve"> </w:t>
      </w:r>
      <w:r>
        <w:t xml:space="preserve">Today is</w:t>
      </w:r>
      <w:r>
        <w:t xml:space="preserve"> </w:t>
      </w:r>
      <w:r>
        <w:rPr>
          <w:b/>
          <w:bCs/>
        </w:rPr>
        <w:t xml:space="preserve">Wednesday, August 5, 2026</w:t>
      </w:r>
      <w:r>
        <w:t xml:space="preserve">. The referenced</w:t>
      </w:r>
      <w:r>
        <w:t xml:space="preserve"> </w:t>
      </w:r>
      <w:r>
        <w:rPr>
          <w:b/>
          <w:bCs/>
        </w:rPr>
        <w:t xml:space="preserve">2026Q2 earnings call is scheduled for August 5</w:t>
      </w:r>
      <w:r>
        <w:t xml:space="preserve">, so CF reports</w:t>
      </w:r>
      <w:r>
        <w:t xml:space="preserve"> </w:t>
      </w:r>
      <w:r>
        <w:rPr>
          <w:b/>
          <w:bCs/>
        </w:rPr>
        <w:t xml:space="preserve">today</w:t>
      </w:r>
      <w:r>
        <w:t xml:space="preserve">, not tomorrow.</w:t>
      </w:r>
    </w:p>
    <w:bookmarkStart w:id="9" w:name="bottom-line"/>
    <w:p>
      <w:pPr>
        <w:pStyle w:val="Heading2"/>
      </w:pPr>
      <w:r>
        <w:t xml:space="preserve">Bottom line</w:t>
      </w:r>
    </w:p>
    <w:p>
      <w:pPr>
        <w:pStyle w:val="FirstParagraph"/>
      </w:pPr>
      <w:r>
        <w:t xml:space="preserve">CF enters 2Q26 with an unusually favorable fundamental setup: global nitrogen markets tightened materially following Middle East supply disruptions, North American assets remain operationally advantaged, and North American gas costs appear to have fallen sharply from the elevated 1Q level. The principal question is</w:t>
      </w:r>
      <w:r>
        <w:t xml:space="preserve"> </w:t>
      </w:r>
      <w:r>
        <w:rPr>
          <w:b/>
          <w:bCs/>
        </w:rPr>
        <w:t xml:space="preserve">how much of the sharp rise in global nitrogen pricing is reflected in second-quarter realized prices and forward-sales positioning</w:t>
      </w:r>
      <w:r>
        <w:t xml:space="preserve">, versus how much is deferred into second-half results.</w:t>
      </w:r>
    </w:p>
    <w:p>
      <w:pPr>
        <w:pStyle w:val="BodyText"/>
      </w:pPr>
      <w:r>
        <w:t xml:space="preserve">The key nuance for investors:</w:t>
      </w:r>
      <w:r>
        <w:t xml:space="preserve"> </w:t>
      </w:r>
      <w:r>
        <w:rPr>
          <w:b/>
          <w:bCs/>
        </w:rPr>
        <w:t xml:space="preserve">1Q26 reported earnings included a roughly $170 million litigation-settlement gain.</w:t>
      </w:r>
      <w:r>
        <w:t xml:space="preserve"> </w:t>
      </w:r>
      <w:r>
        <w:t xml:space="preserve">Therefore, headline quarter-over-quarter comparisons may look less dramatic than the underlying nitrogen-margin trajectory. On an operating basis, 2Q should benefit from higher realized fertilizer pricing and lower gas costs, partially offset by the ongoing Yazoo City outage, normal maintenance, and possible working-capital/capex pressure.</w:t>
      </w:r>
    </w:p>
    <w:bookmarkEnd w:id="9"/>
    <w:bookmarkStart w:id="11" w:name="what-matters-most-for-the-print"/>
    <w:p>
      <w:pPr>
        <w:pStyle w:val="Heading2"/>
      </w:pPr>
      <w:r>
        <w:t xml:space="preserve">What matters most for the print</w:t>
      </w:r>
    </w:p>
    <w:bookmarkStart w:id="10" w:name="Xb3ca20be6081955a7f135538f7575ad6f579659"/>
    <w:p>
      <w:pPr>
        <w:pStyle w:val="Heading3"/>
      </w:pPr>
      <w:r>
        <w:t xml:space="preserve">1. Price realization: the central swing factor</w:t>
      </w:r>
    </w:p>
    <w:p>
      <w:pPr>
        <w:pStyle w:val="FirstParagraph"/>
      </w:pPr>
      <w:r>
        <w:t xml:space="preserve">The bull case is fundamentally about nitrogen pricing rather than volume. In 1Q26, CF realized average selling prices of:</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Product</w:t>
            </w:r>
          </w:p>
        </w:tc>
        <w:tc>
          <w:tcPr/>
          <w:p>
            <w:pPr>
              <w:pStyle w:val="Compact"/>
              <w:jc w:val="right"/>
            </w:pPr>
            <w:r>
              <w:t xml:space="preserve">1Q26 ASP</w:t>
            </w:r>
          </w:p>
        </w:tc>
        <w:tc>
          <w:tcPr/>
          <w:p>
            <w:pPr>
              <w:pStyle w:val="Compact"/>
              <w:jc w:val="right"/>
            </w:pPr>
            <w:r>
              <w:t xml:space="preserve">YoY change</w:t>
            </w:r>
          </w:p>
        </w:tc>
      </w:tr>
      <w:tr>
        <w:tc>
          <w:tcPr/>
          <w:p>
            <w:pPr>
              <w:pStyle w:val="Compact"/>
            </w:pPr>
            <w:r>
              <w:t xml:space="preserve">Ammonia</w:t>
            </w:r>
          </w:p>
        </w:tc>
        <w:tc>
          <w:tcPr/>
          <w:p>
            <w:pPr>
              <w:pStyle w:val="Compact"/>
              <w:jc w:val="right"/>
            </w:pPr>
            <w:r>
              <w:t xml:space="preserve">$568/ton</w:t>
            </w:r>
          </w:p>
        </w:tc>
        <w:tc>
          <w:tcPr/>
          <w:p>
            <w:pPr>
              <w:pStyle w:val="Compact"/>
              <w:jc w:val="right"/>
            </w:pPr>
            <w:r>
              <w:t xml:space="preserve">+25%</w:t>
            </w:r>
          </w:p>
        </w:tc>
      </w:tr>
      <w:tr>
        <w:tc>
          <w:tcPr/>
          <w:p>
            <w:pPr>
              <w:pStyle w:val="Compact"/>
            </w:pPr>
            <w:r>
              <w:t xml:space="preserve">Granular urea</w:t>
            </w:r>
          </w:p>
        </w:tc>
        <w:tc>
          <w:tcPr/>
          <w:p>
            <w:pPr>
              <w:pStyle w:val="Compact"/>
              <w:jc w:val="right"/>
            </w:pPr>
            <w:r>
              <w:t xml:space="preserve">$457/ton</w:t>
            </w:r>
          </w:p>
        </w:tc>
        <w:tc>
          <w:tcPr/>
          <w:p>
            <w:pPr>
              <w:pStyle w:val="Compact"/>
              <w:jc w:val="right"/>
            </w:pPr>
            <w:r>
              <w:t xml:space="preserve">+17%</w:t>
            </w:r>
          </w:p>
        </w:tc>
      </w:tr>
      <w:tr>
        <w:tc>
          <w:tcPr/>
          <w:p>
            <w:pPr>
              <w:pStyle w:val="Compact"/>
            </w:pPr>
            <w:r>
              <w:t xml:space="preserve">UAN</w:t>
            </w:r>
          </w:p>
        </w:tc>
        <w:tc>
          <w:tcPr/>
          <w:p>
            <w:pPr>
              <w:pStyle w:val="Compact"/>
              <w:jc w:val="right"/>
            </w:pPr>
            <w:r>
              <w:t xml:space="preserve">$349/ton</w:t>
            </w:r>
          </w:p>
        </w:tc>
        <w:tc>
          <w:tcPr/>
          <w:p>
            <w:pPr>
              <w:pStyle w:val="Compact"/>
              <w:jc w:val="right"/>
            </w:pPr>
            <w:r>
              <w:t xml:space="preserve">+39%</w:t>
            </w:r>
          </w:p>
        </w:tc>
      </w:tr>
      <w:tr>
        <w:tc>
          <w:tcPr/>
          <w:p>
            <w:pPr>
              <w:pStyle w:val="Compact"/>
            </w:pPr>
            <w:r>
              <w:t xml:space="preserve">AN</w:t>
            </w:r>
          </w:p>
        </w:tc>
        <w:tc>
          <w:tcPr/>
          <w:p>
            <w:pPr>
              <w:pStyle w:val="Compact"/>
              <w:jc w:val="right"/>
            </w:pPr>
            <w:r>
              <w:t xml:space="preserve">$446/ton</w:t>
            </w:r>
          </w:p>
        </w:tc>
        <w:tc>
          <w:tcPr/>
          <w:p>
            <w:pPr>
              <w:pStyle w:val="Compact"/>
              <w:jc w:val="right"/>
            </w:pPr>
            <w:r>
              <w:t xml:space="preserve">+45%</w:t>
            </w:r>
          </w:p>
        </w:tc>
      </w:tr>
    </w:tbl>
    <w:p>
      <w:pPr>
        <w:pStyle w:val="BodyText"/>
      </w:pPr>
      <w:r>
        <w:t xml:space="preserve">Global supply conditions subsequently became more constrained. Management said Middle East disruptions affected a region accounting for roughly</w:t>
      </w:r>
      <w:r>
        <w:t xml:space="preserve"> </w:t>
      </w:r>
      <w:r>
        <w:rPr>
          <w:b/>
          <w:bCs/>
        </w:rPr>
        <w:t xml:space="preserve">25–30% of globally traded ammonia</w:t>
      </w:r>
      <w:r>
        <w:t xml:space="preserve"> </w:t>
      </w:r>
      <w:r>
        <w:t xml:space="preserve">and</w:t>
      </w:r>
      <w:r>
        <w:t xml:space="preserve"> </w:t>
      </w:r>
      <w:r>
        <w:rPr>
          <w:b/>
          <w:bCs/>
        </w:rPr>
        <w:t xml:space="preserve">35–40% of globally traded urea</w:t>
      </w:r>
      <w:r>
        <w:t xml:space="preserve">, while LNG disruptions also reduced production in import-dependent markets such as India, Pakistan, and Bangladesh.</w:t>
      </w:r>
    </w:p>
    <w:p>
      <w:pPr>
        <w:pStyle w:val="BodyText"/>
      </w:pPr>
      <w:r>
        <w:t xml:space="preserve">However, the timing of price capture matters. CF sells substantial fertilizer volumes through forward programs, meaning reported prices can lag spot-market moves. The key investor question is thus not simply whether nitrogen prices rose—they did—but:</w:t>
      </w:r>
    </w:p>
    <w:p>
      <w:pPr>
        <w:pStyle w:val="Compact"/>
        <w:numPr>
          <w:ilvl w:val="0"/>
          <w:numId w:val="1001"/>
        </w:numPr>
      </w:pPr>
      <w:r>
        <w:t xml:space="preserve">How much higher pricing was realized in 2Q shipments?</w:t>
      </w:r>
    </w:p>
    <w:p>
      <w:pPr>
        <w:pStyle w:val="Compact"/>
        <w:numPr>
          <w:ilvl w:val="0"/>
          <w:numId w:val="1001"/>
        </w:numPr>
      </w:pPr>
      <w:r>
        <w:t xml:space="preserve">Did the company secure attractive summer-fill / second-half pricing?</w:t>
      </w:r>
    </w:p>
    <w:p>
      <w:pPr>
        <w:pStyle w:val="Compact"/>
        <w:numPr>
          <w:ilvl w:val="0"/>
          <w:numId w:val="1001"/>
        </w:numPr>
      </w:pPr>
      <w:r>
        <w:t xml:space="preserve">Is North American pricing beginning to converge toward higher offshore values?</w:t>
      </w:r>
    </w:p>
    <w:p>
      <w:pPr>
        <w:pStyle w:val="Compact"/>
        <w:numPr>
          <w:ilvl w:val="0"/>
          <w:numId w:val="1001"/>
        </w:numPr>
      </w:pPr>
      <w:r>
        <w:t xml:space="preserve">Has strong global pricing increased export optionality and product-mix value?</w:t>
      </w:r>
    </w:p>
    <w:p>
      <w:pPr>
        <w:pStyle w:val="FirstParagraph"/>
      </w:pPr>
      <w:r>
        <w:t xml:space="preserve">Management previously characterized North America as well supplied for spring, with retailers liquidating inventory before re-entering the market. That dynamic could make 2Q price realization less explosive than offshore spot pricing suggests, while strengthening the setup for 3Q–4Q.</w:t>
      </w:r>
    </w:p>
    <w:bookmarkEnd w:id="10"/>
    <w:bookmarkEnd w:id="11"/>
    <w:bookmarkStart w:id="12" w:name="X15dff2f9e886c4eb5af2e7b6172d9809b89bf0d"/>
    <w:p>
      <w:pPr>
        <w:pStyle w:val="Heading2"/>
      </w:pPr>
      <w:r>
        <w:t xml:space="preserve">2. Natural gas: likely a meaningful sequential tailwind</w:t>
      </w:r>
    </w:p>
    <w:p>
      <w:pPr>
        <w:pStyle w:val="FirstParagraph"/>
      </w:pPr>
      <w:r>
        <w:t xml:space="preserve">Natural gas is CF’s largest variable production cost. In 1Q26, realized production gas cost was</w:t>
      </w:r>
      <w:r>
        <w:t xml:space="preserve"> </w:t>
      </w:r>
      <w:r>
        <w:rPr>
          <w:b/>
          <w:bCs/>
        </w:rPr>
        <w:t xml:space="preserve">$4.57/MMBtu</w:t>
      </w:r>
      <w:r>
        <w:t xml:space="preserve">, versus</w:t>
      </w:r>
      <w:r>
        <w:t xml:space="preserve"> </w:t>
      </w:r>
      <m:oMath>
        <m:r>
          <m:t>3.68</m:t>
        </m:r>
        <m:r>
          <m:rPr>
            <m:sty m:val="p"/>
          </m:rPr>
          <m:t>/</m:t>
        </m:r>
        <m:r>
          <m:t>M</m:t>
        </m:r>
        <m:r>
          <m:t>M</m:t>
        </m:r>
        <m:r>
          <m:t>B</m:t>
        </m:r>
        <m:r>
          <m:t>t</m:t>
        </m:r>
        <m:r>
          <m:t>u</m:t>
        </m:r>
        <m:r>
          <m:t>a</m:t>
        </m:r>
        <m:r>
          <m:t>y</m:t>
        </m:r>
        <m:r>
          <m:t>e</m:t>
        </m:r>
        <m:r>
          <m:t>a</m:t>
        </m:r>
        <m:r>
          <m:t>r</m:t>
        </m:r>
        <m:r>
          <m:t>e</m:t>
        </m:r>
        <m:r>
          <m:t>a</m:t>
        </m:r>
        <m:r>
          <m:t>r</m:t>
        </m:r>
        <m:r>
          <m:t>l</m:t>
        </m:r>
        <m:r>
          <m:t>i</m:t>
        </m:r>
        <m:r>
          <m:t>e</m:t>
        </m:r>
        <m:r>
          <m:t>r</m:t>
        </m:r>
        <m:r>
          <m:rPr>
            <m:sty m:val="p"/>
          </m:rPr>
          <m:t>,</m:t>
        </m:r>
        <m:r>
          <m:t>r</m:t>
        </m:r>
        <m:r>
          <m:t>e</m:t>
        </m:r>
        <m:r>
          <m:t>d</m:t>
        </m:r>
        <m:r>
          <m:t>u</m:t>
        </m:r>
        <m:r>
          <m:t>c</m:t>
        </m:r>
        <m:r>
          <m:t>i</m:t>
        </m:r>
        <m:r>
          <m:t>n</m:t>
        </m:r>
        <m:r>
          <m:t>g</m:t>
        </m:r>
        <m:r>
          <m:t>g</m:t>
        </m:r>
        <m:r>
          <m:t>r</m:t>
        </m:r>
        <m:r>
          <m:t>o</m:t>
        </m:r>
        <m:r>
          <m:t>s</m:t>
        </m:r>
        <m:r>
          <m:t>s</m:t>
        </m:r>
        <m:r>
          <m:t>m</m:t>
        </m:r>
        <m:r>
          <m:t>a</m:t>
        </m:r>
        <m:r>
          <m:t>r</m:t>
        </m:r>
        <m:r>
          <m:t>g</m:t>
        </m:r>
        <m:r>
          <m:t>i</m:t>
        </m:r>
        <m:r>
          <m:t>n</m:t>
        </m:r>
        <m:r>
          <m:t>b</m:t>
        </m:r>
        <m:r>
          <m:t>y</m:t>
        </m:r>
        <m:r>
          <m:t>a</m:t>
        </m:r>
        <m:r>
          <m:t>p</m:t>
        </m:r>
        <m:r>
          <m:t>p</m:t>
        </m:r>
        <m:r>
          <m:t>r</m:t>
        </m:r>
        <m:r>
          <m:t>o</m:t>
        </m:r>
        <m:r>
          <m:t>x</m:t>
        </m:r>
        <m:r>
          <m:t>i</m:t>
        </m:r>
        <m:r>
          <m:t>m</m:t>
        </m:r>
        <m:r>
          <m:t>a</m:t>
        </m:r>
        <m:r>
          <m:t>t</m:t>
        </m:r>
        <m:r>
          <m:t>e</m:t>
        </m:r>
        <m:r>
          <m:t>l</m:t>
        </m:r>
        <m:r>
          <m:t>y</m:t>
        </m:r>
        <m:r>
          <m:rPr>
            <m:sty m:val="p"/>
          </m:rPr>
          <m:t>*</m:t>
        </m:r>
        <m:r>
          <m:rPr>
            <m:sty m:val="p"/>
          </m:rPr>
          <m:t>*</m:t>
        </m:r>
      </m:oMath>
      <w:r>
        <w:t xml:space="preserve">76 million year over year**.</w:t>
      </w:r>
    </w:p>
    <w:p>
      <w:pPr>
        <w:pStyle w:val="BodyText"/>
      </w:pPr>
      <w:r>
        <w:t xml:space="preserve">On the 1Q call, management said Henry Hub had subsequently declined to roughly</w:t>
      </w:r>
      <w:r>
        <w:t xml:space="preserve"> </w:t>
      </w:r>
      <w:r>
        <w:rPr>
          <w:b/>
          <w:bCs/>
        </w:rPr>
        <w:t xml:space="preserve">$2.60/MMBtu</w:t>
      </w:r>
      <w:r>
        <w:t xml:space="preserve"> </w:t>
      </w:r>
      <w:r>
        <w:t xml:space="preserve">and expected realized gas costs for the balance of 2026 to track the then-current NYMEX strip. If that pricing environment persisted through 2Q, CF should see a significant sequential cost benefit.</w:t>
      </w:r>
    </w:p>
    <w:p>
      <w:pPr>
        <w:pStyle w:val="BodyText"/>
      </w:pPr>
      <w:r>
        <w:t xml:space="preserve">This is the core earnings torque:</w:t>
      </w:r>
    </w:p>
    <w:p>
      <w:pPr>
        <w:pStyle w:val="Compact"/>
        <w:numPr>
          <w:ilvl w:val="0"/>
          <w:numId w:val="1002"/>
        </w:numPr>
      </w:pPr>
      <w:r>
        <w:rPr>
          <w:b/>
          <w:bCs/>
        </w:rPr>
        <w:t xml:space="preserve">Higher nitrogen realizations</w:t>
      </w:r>
    </w:p>
    <w:p>
      <w:pPr>
        <w:pStyle w:val="Compact"/>
        <w:numPr>
          <w:ilvl w:val="0"/>
          <w:numId w:val="1002"/>
        </w:numPr>
      </w:pPr>
      <w:r>
        <w:rPr>
          <w:b/>
          <w:bCs/>
        </w:rPr>
        <w:t xml:space="preserve">Lower North American gas input costs</w:t>
      </w:r>
    </w:p>
    <w:p>
      <w:pPr>
        <w:pStyle w:val="Compact"/>
        <w:numPr>
          <w:ilvl w:val="0"/>
          <w:numId w:val="1002"/>
        </w:numPr>
      </w:pPr>
      <w:r>
        <w:rPr>
          <w:b/>
          <w:bCs/>
        </w:rPr>
        <w:t xml:space="preserve">A flexible network that can direct ammonia molecules toward the highest-return product</w:t>
      </w:r>
    </w:p>
    <w:p>
      <w:pPr>
        <w:pStyle w:val="FirstParagraph"/>
      </w:pPr>
      <w:r>
        <w:t xml:space="preserve">CF can shift production between urea and UAN relatively quickly; management noted that some facilities can alter production mix within an operating shift. The 2Q release should therefore be read closely for gross-margin-per-ton trends in granular urea and UAN rather than only consolidated revenue.</w:t>
      </w:r>
    </w:p>
    <w:bookmarkEnd w:id="12"/>
    <w:bookmarkStart w:id="13" w:name="Xfd0d5f459d51cbf70e9fcb9858a23fbef219b6d"/>
    <w:p>
      <w:pPr>
        <w:pStyle w:val="Heading2"/>
      </w:pPr>
      <w:r>
        <w:t xml:space="preserve">3. Yazoo City remains the main operational offset</w:t>
      </w:r>
    </w:p>
    <w:p>
      <w:pPr>
        <w:pStyle w:val="FirstParagraph"/>
      </w:pPr>
      <w:r>
        <w:t xml:space="preserve">The November 2025 incident at Yazoo City continues to idle the complex. Management’s latest guidance was for production to resume</w:t>
      </w:r>
      <w:r>
        <w:t xml:space="preserve"> </w:t>
      </w:r>
      <w:r>
        <w:rPr>
          <w:b/>
          <w:bCs/>
        </w:rPr>
        <w:t xml:space="preserve">no earlier than late 4Q26</w:t>
      </w:r>
      <w:r>
        <w:t xml:space="preserve">. The outage primarily hurts ammonium nitrate, DEF, and related volumes, while also creating unabsorbed fixed costs.</w:t>
      </w:r>
    </w:p>
    <w:p>
      <w:pPr>
        <w:pStyle w:val="BodyText"/>
      </w:pPr>
      <w:r>
        <w:t xml:space="preserve">In 1Q:</w:t>
      </w:r>
    </w:p>
    <w:p>
      <w:pPr>
        <w:pStyle w:val="Compact"/>
        <w:numPr>
          <w:ilvl w:val="0"/>
          <w:numId w:val="1003"/>
        </w:numPr>
      </w:pPr>
      <w:r>
        <w:t xml:space="preserve">AN volume fell</w:t>
      </w:r>
      <w:r>
        <w:t xml:space="preserve"> </w:t>
      </w:r>
      <w:r>
        <w:rPr>
          <w:b/>
          <w:bCs/>
        </w:rPr>
        <w:t xml:space="preserve">60% YoY</w:t>
      </w:r>
    </w:p>
    <w:p>
      <w:pPr>
        <w:pStyle w:val="Compact"/>
        <w:numPr>
          <w:ilvl w:val="0"/>
          <w:numId w:val="1003"/>
        </w:numPr>
      </w:pPr>
      <w:r>
        <w:t xml:space="preserve">AN gross margin was</w:t>
      </w:r>
      <w:r>
        <w:t xml:space="preserve"> </w:t>
      </w:r>
      <w:r>
        <w:rPr>
          <w:b/>
          <w:bCs/>
        </w:rPr>
        <w:t xml:space="preserve">negative $11 million</w:t>
      </w:r>
    </w:p>
    <w:p>
      <w:pPr>
        <w:pStyle w:val="Compact"/>
        <w:numPr>
          <w:ilvl w:val="0"/>
          <w:numId w:val="1003"/>
        </w:numPr>
      </w:pPr>
      <w:r>
        <w:t xml:space="preserve">“Other” segment margin declined</w:t>
      </w:r>
      <w:r>
        <w:t xml:space="preserve"> </w:t>
      </w:r>
      <w:r>
        <w:rPr>
          <w:b/>
          <w:bCs/>
        </w:rPr>
        <w:t xml:space="preserve">55% YoY</w:t>
      </w:r>
      <w:r>
        <w:t xml:space="preserve">, partly reflecting lost Yazoo-related DEF volumes and idle-cost absorption</w:t>
      </w:r>
    </w:p>
    <w:p>
      <w:pPr>
        <w:pStyle w:val="FirstParagraph"/>
      </w:pPr>
      <w:r>
        <w:t xml:space="preserve">CF still expects about</w:t>
      </w:r>
      <w:r>
        <w:t xml:space="preserve"> </w:t>
      </w:r>
      <w:r>
        <w:rPr>
          <w:b/>
          <w:bCs/>
        </w:rPr>
        <w:t xml:space="preserve">9.5 million tons of gross ammonia production for full-year 2026</w:t>
      </w:r>
      <w:r>
        <w:t xml:space="preserve">, reflecting the Yazoo downtime. Investors should focus on whether the company:</w:t>
      </w:r>
    </w:p>
    <w:p>
      <w:pPr>
        <w:pStyle w:val="Compact"/>
        <w:numPr>
          <w:ilvl w:val="0"/>
          <w:numId w:val="1004"/>
        </w:numPr>
      </w:pPr>
      <w:r>
        <w:t xml:space="preserve">Maintains that production outlook;</w:t>
      </w:r>
    </w:p>
    <w:p>
      <w:pPr>
        <w:pStyle w:val="Compact"/>
        <w:numPr>
          <w:ilvl w:val="0"/>
          <w:numId w:val="1004"/>
        </w:numPr>
      </w:pPr>
      <w:r>
        <w:t xml:space="preserve">Updates the restart timetable;</w:t>
      </w:r>
    </w:p>
    <w:p>
      <w:pPr>
        <w:pStyle w:val="Compact"/>
        <w:numPr>
          <w:ilvl w:val="0"/>
          <w:numId w:val="1004"/>
        </w:numPr>
      </w:pPr>
      <w:r>
        <w:t xml:space="preserve">Quantifies incremental rebuild capex and insurance recoveries; and</w:t>
      </w:r>
    </w:p>
    <w:p>
      <w:pPr>
        <w:pStyle w:val="Compact"/>
        <w:numPr>
          <w:ilvl w:val="0"/>
          <w:numId w:val="1004"/>
        </w:numPr>
      </w:pPr>
      <w:r>
        <w:t xml:space="preserve">Demonstrates that high-value urea/UAN mix continues to mitigate the lost AN contribution.</w:t>
      </w:r>
    </w:p>
    <w:bookmarkEnd w:id="13"/>
    <w:bookmarkStart w:id="14" w:name="X229ab592a356e6967081c076cb5da0e367971b1"/>
    <w:p>
      <w:pPr>
        <w:pStyle w:val="Heading2"/>
      </w:pPr>
      <w:r>
        <w:t xml:space="preserve">4. Underlying earnings should be assessed excluding 1Q’s non-recurring gain</w:t>
      </w:r>
    </w:p>
    <w:p>
      <w:pPr>
        <w:pStyle w:val="FirstParagraph"/>
      </w:pPr>
      <w:r>
        <w:t xml:space="preserve">1Q26 net income was</w:t>
      </w:r>
      <w:r>
        <w:t xml:space="preserve"> </w:t>
      </w:r>
      <m:oMath>
        <m:r>
          <m:t>615</m:t>
        </m:r>
        <m:r>
          <m:t>m</m:t>
        </m:r>
        <m:r>
          <m:t>i</m:t>
        </m:r>
        <m:r>
          <m:t>l</m:t>
        </m:r>
        <m:r>
          <m:t>l</m:t>
        </m:r>
        <m:r>
          <m:t>i</m:t>
        </m:r>
        <m:r>
          <m:t>o</m:t>
        </m:r>
        <m:r>
          <m:t>n</m:t>
        </m:r>
        <m:r>
          <m:rPr>
            <m:sty m:val="p"/>
          </m:rPr>
          <m:t>*</m:t>
        </m:r>
        <m:r>
          <m:rPr>
            <m:sty m:val="p"/>
          </m:rPr>
          <m:t>*</m:t>
        </m:r>
        <m:r>
          <m:rPr>
            <m:sty m:val="p"/>
          </m:rPr>
          <m:t>,</m:t>
        </m:r>
        <m:r>
          <m:t>o</m:t>
        </m:r>
        <m:r>
          <m:t>r</m:t>
        </m:r>
        <m:r>
          <m:rPr>
            <m:sty m:val="p"/>
          </m:rPr>
          <m:t>*</m:t>
        </m:r>
        <m:r>
          <m:rPr>
            <m:sty m:val="p"/>
          </m:rPr>
          <m:t>*</m:t>
        </m:r>
      </m:oMath>
      <w:r>
        <w:rPr>
          <w:b/>
          <w:bCs/>
        </w:rPr>
        <w:t xml:space="preserve">3.98/share</w:t>
      </w:r>
      <w:r>
        <w:t xml:space="preserve">, and adjusted EBITDA was</w:t>
      </w:r>
      <w:r>
        <w:t xml:space="preserve"> </w:t>
      </w:r>
      <m:oMath>
        <m:r>
          <m:t>983</m:t>
        </m:r>
        <m:r>
          <m:t>m</m:t>
        </m:r>
        <m:r>
          <m:t>i</m:t>
        </m:r>
        <m:r>
          <m:t>l</m:t>
        </m:r>
        <m:r>
          <m:t>l</m:t>
        </m:r>
        <m:r>
          <m:t>i</m:t>
        </m:r>
        <m:r>
          <m:t>o</m:t>
        </m:r>
        <m:r>
          <m:t>n</m:t>
        </m:r>
        <m:r>
          <m:rPr>
            <m:sty m:val="p"/>
          </m:rPr>
          <m:t>*</m:t>
        </m:r>
        <m:r>
          <m:rPr>
            <m:sty m:val="p"/>
          </m:rPr>
          <m:t>*</m:t>
        </m:r>
        <m:r>
          <m:rPr>
            <m:sty m:val="p"/>
          </m:rPr>
          <m:t>.</m:t>
        </m:r>
        <m:r>
          <m:t>B</m:t>
        </m:r>
        <m:r>
          <m:t>u</m:t>
        </m:r>
        <m:r>
          <m:t>t</m:t>
        </m:r>
        <m:r>
          <m:t>r</m:t>
        </m:r>
        <m:r>
          <m:t>e</m:t>
        </m:r>
        <m:r>
          <m:t>p</m:t>
        </m:r>
        <m:r>
          <m:t>o</m:t>
        </m:r>
        <m:r>
          <m:t>r</m:t>
        </m:r>
        <m:r>
          <m:t>t</m:t>
        </m:r>
        <m:r>
          <m:t>e</m:t>
        </m:r>
        <m:r>
          <m:t>d</m:t>
        </m:r>
        <m:r>
          <m:t>r</m:t>
        </m:r>
        <m:r>
          <m:t>e</m:t>
        </m:r>
        <m:r>
          <m:t>s</m:t>
        </m:r>
        <m:r>
          <m:t>u</m:t>
        </m:r>
        <m:r>
          <m:t>l</m:t>
        </m:r>
        <m:r>
          <m:t>t</m:t>
        </m:r>
        <m:r>
          <m:t>s</m:t>
        </m:r>
        <m:r>
          <m:t>i</m:t>
        </m:r>
        <m:r>
          <m:t>n</m:t>
        </m:r>
        <m:r>
          <m:t>c</m:t>
        </m:r>
        <m:r>
          <m:t>l</m:t>
        </m:r>
        <m:r>
          <m:t>u</m:t>
        </m:r>
        <m:r>
          <m:t>d</m:t>
        </m:r>
        <m:r>
          <m:t>e</m:t>
        </m:r>
        <m:r>
          <m:t>d</m:t>
        </m:r>
        <m:r>
          <m:t>a</m:t>
        </m:r>
        <m:r>
          <m:rPr>
            <m:sty m:val="p"/>
          </m:rPr>
          <m:t>*</m:t>
        </m:r>
        <m:r>
          <m:rPr>
            <m:sty m:val="p"/>
          </m:rPr>
          <m:t>*</m:t>
        </m:r>
      </m:oMath>
      <w:r>
        <w:rPr>
          <w:b/>
          <w:bCs/>
        </w:rPr>
        <w:t xml:space="preserve">170 million litigation settlement gain</w:t>
      </w:r>
      <w:r>
        <w:t xml:space="preserve"> </w:t>
      </w:r>
      <w:r>
        <w:t xml:space="preserve">related to Orica/Nelson Brothers.</w:t>
      </w:r>
    </w:p>
    <w:p>
      <w:pPr>
        <w:pStyle w:val="BodyText"/>
      </w:pPr>
      <w:r>
        <w:t xml:space="preserve">Importantly, CF’s reported adjusted EBITDA did</w:t>
      </w:r>
      <w:r>
        <w:t xml:space="preserve"> </w:t>
      </w:r>
      <w:r>
        <w:rPr>
          <w:b/>
          <w:bCs/>
        </w:rPr>
        <w:t xml:space="preserve">not</w:t>
      </w:r>
      <w:r>
        <w:t xml:space="preserve"> </w:t>
      </w:r>
      <w:r>
        <w:t xml:space="preserve">appear to exclude that litigation settlement. A cleaner operating read on 1Q EBITDA is therefore closer to roughly</w:t>
      </w:r>
      <w:r>
        <w:t xml:space="preserve"> </w:t>
      </w:r>
      <w:r>
        <w:rPr>
          <w:b/>
          <w:bCs/>
        </w:rPr>
        <w:t xml:space="preserve">$813 million before the settlement</w:t>
      </w:r>
      <w:r>
        <w:t xml:space="preserve">, though that simplification does not adjust for all other items such as insurance recoveries and 45Q credits.</w:t>
      </w:r>
    </w:p>
    <w:p>
      <w:pPr>
        <w:pStyle w:val="BodyText"/>
      </w:pPr>
      <w:r>
        <w:t xml:space="preserve">For 2Q, investors should prioritize:</w:t>
      </w:r>
    </w:p>
    <w:p>
      <w:pPr>
        <w:pStyle w:val="Compact"/>
        <w:numPr>
          <w:ilvl w:val="0"/>
          <w:numId w:val="1005"/>
        </w:numPr>
      </w:pPr>
      <w:r>
        <w:t xml:space="preserve">Adjusted EBITDA and gross margin</w:t>
      </w:r>
      <w:r>
        <w:t xml:space="preserve"> </w:t>
      </w:r>
      <w:r>
        <w:rPr>
          <w:b/>
          <w:bCs/>
        </w:rPr>
        <w:t xml:space="preserve">excluding unusual items</w:t>
      </w:r>
    </w:p>
    <w:p>
      <w:pPr>
        <w:pStyle w:val="Compact"/>
        <w:numPr>
          <w:ilvl w:val="0"/>
          <w:numId w:val="1005"/>
        </w:numPr>
      </w:pPr>
      <w:r>
        <w:t xml:space="preserve">Margin per ton by product</w:t>
      </w:r>
    </w:p>
    <w:p>
      <w:pPr>
        <w:pStyle w:val="Compact"/>
        <w:numPr>
          <w:ilvl w:val="0"/>
          <w:numId w:val="1005"/>
        </w:numPr>
      </w:pPr>
      <w:r>
        <w:t xml:space="preserve">Cash generation after capex and noncontrolling-interest distributions</w:t>
      </w:r>
    </w:p>
    <w:p>
      <w:pPr>
        <w:pStyle w:val="Compact"/>
        <w:numPr>
          <w:ilvl w:val="0"/>
          <w:numId w:val="1005"/>
        </w:numPr>
      </w:pPr>
      <w:r>
        <w:t xml:space="preserve">The embedded earnings power implied by second-half pricing and gas costs</w:t>
      </w:r>
    </w:p>
    <w:p>
      <w:pPr>
        <w:pStyle w:val="FirstParagraph"/>
      </w:pPr>
      <w:r>
        <w:t xml:space="preserve">A sequential decline in reported EBITDA would not necessarily indicate weaker fundamentals if it principally reflects the absence of the litigation gain.</w:t>
      </w:r>
    </w:p>
    <w:bookmarkEnd w:id="14"/>
    <w:bookmarkStart w:id="15" w:name="X0dbdf29b2c0b5156d28e360acd2de0956c4ca28"/>
    <w:p>
      <w:pPr>
        <w:pStyle w:val="Heading2"/>
      </w:pPr>
      <w:r>
        <w:t xml:space="preserve">Market backdrop: bullish, but with execution and affordability risks</w:t>
      </w:r>
    </w:p>
    <w:p>
      <w:pPr>
        <w:pStyle w:val="FirstParagraph"/>
      </w:pPr>
      <w:r>
        <w:t xml:space="preserve">CF’s management continues to describe global nitrogen supply-demand as tight through 2026 and into 2027. Key supports include constrained Middle East supply, reduced LNG availability for import-dependent nitrogen producers, limited Chinese exports, Russian disruptions, and potentially elevated Indian urea-import requirements.</w:t>
      </w:r>
    </w:p>
    <w:p>
      <w:pPr>
        <w:pStyle w:val="BodyText"/>
      </w:pPr>
      <w:r>
        <w:t xml:space="preserve">The counterarguments are also important:</w:t>
      </w:r>
    </w:p>
    <w:p>
      <w:pPr>
        <w:pStyle w:val="Compact"/>
        <w:numPr>
          <w:ilvl w:val="0"/>
          <w:numId w:val="1006"/>
        </w:numPr>
      </w:pPr>
      <w:r>
        <w:t xml:space="preserve">Exceptionally high fertilizer pricing can cause demand destruction in lower-income importing regions.</w:t>
      </w:r>
    </w:p>
    <w:p>
      <w:pPr>
        <w:pStyle w:val="Compact"/>
        <w:numPr>
          <w:ilvl w:val="0"/>
          <w:numId w:val="1006"/>
        </w:numPr>
      </w:pPr>
      <w:r>
        <w:t xml:space="preserve">China may increase exports, easing the global balance.</w:t>
      </w:r>
    </w:p>
    <w:p>
      <w:pPr>
        <w:pStyle w:val="Compact"/>
        <w:numPr>
          <w:ilvl w:val="0"/>
          <w:numId w:val="1006"/>
        </w:numPr>
      </w:pPr>
      <w:r>
        <w:t xml:space="preserve">Middle East production, LNG infrastructure, and shipping routes could recover faster than expected.</w:t>
      </w:r>
    </w:p>
    <w:p>
      <w:pPr>
        <w:pStyle w:val="Compact"/>
        <w:numPr>
          <w:ilvl w:val="0"/>
          <w:numId w:val="1006"/>
        </w:numPr>
      </w:pPr>
      <w:r>
        <w:t xml:space="preserve">U.S. nitrogen prices may remain below offshore prices for a period due to domestic inventory and seasonal behavior.</w:t>
      </w:r>
    </w:p>
    <w:p>
      <w:pPr>
        <w:pStyle w:val="Compact"/>
        <w:numPr>
          <w:ilvl w:val="0"/>
          <w:numId w:val="1006"/>
        </w:numPr>
      </w:pPr>
      <w:r>
        <w:t xml:space="preserve">Political scrutiny of fertilizer prices has increased, creating policy and headline risk.</w:t>
      </w:r>
    </w:p>
    <w:p>
      <w:pPr>
        <w:pStyle w:val="FirstParagraph"/>
      </w:pPr>
      <w:r>
        <w:t xml:space="preserve">The most constructive outcome for CF would be a supply environment tight enough to sustain high nitrogen values while North American farmers retain strong enough crop economics to maintain application rates.</w:t>
      </w:r>
    </w:p>
    <w:bookmarkEnd w:id="15"/>
    <w:bookmarkStart w:id="16" w:name="Xdbd2acc684ccd6db3bf68571c48eea906cbfca6"/>
    <w:p>
      <w:pPr>
        <w:pStyle w:val="Heading2"/>
      </w:pPr>
      <w:r>
        <w:t xml:space="preserve">Capital allocation and strategic optionality</w:t>
      </w:r>
    </w:p>
    <w:p>
      <w:pPr>
        <w:pStyle w:val="FirstParagraph"/>
      </w:pPr>
      <w:r>
        <w:t xml:space="preserve">CF is entering this cycle with substantial financial capacity:</w:t>
      </w:r>
    </w:p>
    <w:p>
      <w:pPr>
        <w:pStyle w:val="Compact"/>
        <w:numPr>
          <w:ilvl w:val="0"/>
          <w:numId w:val="1007"/>
        </w:numPr>
      </w:pPr>
      <w:r>
        <w:rPr>
          <w:b/>
          <w:bCs/>
        </w:rPr>
        <w:t xml:space="preserve">$2.04 billion</w:t>
      </w:r>
      <w:r>
        <w:t xml:space="preserve"> </w:t>
      </w:r>
      <w:r>
        <w:t xml:space="preserve">of cash and equivalents at March 31, including $254 million at the Blue Point joint venture;</w:t>
      </w:r>
    </w:p>
    <w:p>
      <w:pPr>
        <w:pStyle w:val="Compact"/>
        <w:numPr>
          <w:ilvl w:val="0"/>
          <w:numId w:val="1007"/>
        </w:numPr>
      </w:pPr>
      <w:r>
        <w:rPr>
          <w:b/>
          <w:bCs/>
        </w:rPr>
        <w:t xml:space="preserve">$1.7 billion</w:t>
      </w:r>
      <w:r>
        <w:t xml:space="preserve"> </w:t>
      </w:r>
      <w:r>
        <w:t xml:space="preserve">remaining under its share-repurchase authorization as of March 31;</w:t>
      </w:r>
    </w:p>
    <w:p>
      <w:pPr>
        <w:pStyle w:val="Compact"/>
        <w:numPr>
          <w:ilvl w:val="0"/>
          <w:numId w:val="1007"/>
        </w:numPr>
      </w:pPr>
      <w:r>
        <w:t xml:space="preserve">A quarterly dividend of</w:t>
      </w:r>
      <w:r>
        <w:t xml:space="preserve"> </w:t>
      </w:r>
      <w:r>
        <w:rPr>
          <w:b/>
          <w:bCs/>
        </w:rPr>
        <w:t xml:space="preserve">$0.50/share</w:t>
      </w:r>
      <w:r>
        <w:t xml:space="preserve">;</w:t>
      </w:r>
    </w:p>
    <w:p>
      <w:pPr>
        <w:pStyle w:val="Compact"/>
        <w:numPr>
          <w:ilvl w:val="0"/>
          <w:numId w:val="1007"/>
        </w:numPr>
      </w:pPr>
      <w:r>
        <w:t xml:space="preserve">A planned</w:t>
      </w:r>
      <w:r>
        <w:t xml:space="preserve"> </w:t>
      </w:r>
      <w:r>
        <w:rPr>
          <w:b/>
          <w:bCs/>
        </w:rPr>
        <w:t xml:space="preserve">$1.3 billion</w:t>
      </w:r>
      <w:r>
        <w:t xml:space="preserve"> </w:t>
      </w:r>
      <w:r>
        <w:t xml:space="preserve">of consolidated 2026 capex, including Blue Point spending.</w:t>
      </w:r>
    </w:p>
    <w:p>
      <w:pPr>
        <w:pStyle w:val="FirstParagraph"/>
      </w:pPr>
      <w:r>
        <w:t xml:space="preserve">The main strategic project is the Blue Point low-carbon ammonia facility, expected to begin production in late 2029. The project has approximately</w:t>
      </w:r>
      <w:r>
        <w:t xml:space="preserve"> </w:t>
      </w:r>
      <w:r>
        <w:rPr>
          <w:b/>
          <w:bCs/>
        </w:rPr>
        <w:t xml:space="preserve">1.5 million tons</w:t>
      </w:r>
      <w:r>
        <w:t xml:space="preserve"> </w:t>
      </w:r>
      <w:r>
        <w:t xml:space="preserve">of annual ammonia capacity and is expected to capture more than 95% of process CO₂. CF’s ownership is 40%, with JERA and Mitsui funding the remaining 60% of the joint venture’s capital needs.</w:t>
      </w:r>
    </w:p>
    <w:p>
      <w:pPr>
        <w:pStyle w:val="BodyText"/>
      </w:pPr>
      <w:r>
        <w:t xml:space="preserve">Near-term, Blue Point is a capital call rather than an earnings contributor. Longer term, it adds growth and low-carbon-ammonia optionality. On the call, investors should listen for:</w:t>
      </w:r>
    </w:p>
    <w:p>
      <w:pPr>
        <w:pStyle w:val="Compact"/>
        <w:numPr>
          <w:ilvl w:val="0"/>
          <w:numId w:val="1008"/>
        </w:numPr>
      </w:pPr>
      <w:r>
        <w:t xml:space="preserve">Permit and construction milestones;</w:t>
      </w:r>
    </w:p>
    <w:p>
      <w:pPr>
        <w:pStyle w:val="Compact"/>
        <w:numPr>
          <w:ilvl w:val="0"/>
          <w:numId w:val="1008"/>
        </w:numPr>
      </w:pPr>
      <w:r>
        <w:t xml:space="preserve">Any cost or timing changes;</w:t>
      </w:r>
    </w:p>
    <w:p>
      <w:pPr>
        <w:pStyle w:val="Compact"/>
        <w:numPr>
          <w:ilvl w:val="0"/>
          <w:numId w:val="1008"/>
        </w:numPr>
      </w:pPr>
      <w:r>
        <w:t xml:space="preserve">Tariff-related equipment-cost exposure;</w:t>
      </w:r>
    </w:p>
    <w:p>
      <w:pPr>
        <w:pStyle w:val="Compact"/>
        <w:numPr>
          <w:ilvl w:val="0"/>
          <w:numId w:val="1008"/>
        </w:numPr>
      </w:pPr>
      <w:r>
        <w:t xml:space="preserve">Evidence of contracted low-carbon-ammonia premiums;</w:t>
      </w:r>
    </w:p>
    <w:p>
      <w:pPr>
        <w:pStyle w:val="Compact"/>
        <w:numPr>
          <w:ilvl w:val="0"/>
          <w:numId w:val="1008"/>
        </w:numPr>
      </w:pPr>
      <w:r>
        <w:t xml:space="preserve">Whether management’s confidence in a possible Blue Point expansion has changed.</w:t>
      </w:r>
    </w:p>
    <w:bookmarkEnd w:id="16"/>
    <w:bookmarkStart w:id="19" w:name="Xa0d6b3646e7473e6aca5b292f640ff26076c6cb"/>
    <w:p>
      <w:pPr>
        <w:pStyle w:val="Heading2"/>
      </w:pPr>
      <w:r>
        <w:t xml:space="preserve">What could drive the stock after earnings</w:t>
      </w:r>
    </w:p>
    <w:bookmarkStart w:id="17" w:name="potentially-bullish"/>
    <w:p>
      <w:pPr>
        <w:pStyle w:val="Heading3"/>
      </w:pPr>
      <w:r>
        <w:t xml:space="preserve">Potentially bullish</w:t>
      </w:r>
    </w:p>
    <w:p>
      <w:pPr>
        <w:pStyle w:val="Compact"/>
        <w:numPr>
          <w:ilvl w:val="0"/>
          <w:numId w:val="1009"/>
        </w:numPr>
      </w:pPr>
      <w:r>
        <w:t xml:space="preserve">Clear evidence of strong 2Q price realization despite spring-season inventory dynamics.</w:t>
      </w:r>
    </w:p>
    <w:p>
      <w:pPr>
        <w:pStyle w:val="Compact"/>
        <w:numPr>
          <w:ilvl w:val="0"/>
          <w:numId w:val="1009"/>
        </w:numPr>
      </w:pPr>
      <w:r>
        <w:t xml:space="preserve">Lower realized gas costs and expanding gross margin per ton.</w:t>
      </w:r>
    </w:p>
    <w:p>
      <w:pPr>
        <w:pStyle w:val="Compact"/>
        <w:numPr>
          <w:ilvl w:val="0"/>
          <w:numId w:val="1009"/>
        </w:numPr>
      </w:pPr>
      <w:r>
        <w:t xml:space="preserve">Firm language that nitrogen tightness and elevated pricing extend through 2027.</w:t>
      </w:r>
    </w:p>
    <w:p>
      <w:pPr>
        <w:pStyle w:val="Compact"/>
        <w:numPr>
          <w:ilvl w:val="0"/>
          <w:numId w:val="1009"/>
        </w:numPr>
      </w:pPr>
      <w:r>
        <w:t xml:space="preserve">A constructive summer-fill outlook and evidence of customer willingness to secure product.</w:t>
      </w:r>
    </w:p>
    <w:p>
      <w:pPr>
        <w:pStyle w:val="Compact"/>
        <w:numPr>
          <w:ilvl w:val="0"/>
          <w:numId w:val="1009"/>
        </w:numPr>
      </w:pPr>
      <w:r>
        <w:t xml:space="preserve">Faster or larger insurance recoveries for Yazoo City.</w:t>
      </w:r>
    </w:p>
    <w:p>
      <w:pPr>
        <w:pStyle w:val="Compact"/>
        <w:numPr>
          <w:ilvl w:val="0"/>
          <w:numId w:val="1009"/>
        </w:numPr>
      </w:pPr>
      <w:r>
        <w:t xml:space="preserve">Meaningful resumption of share repurchases.</w:t>
      </w:r>
    </w:p>
    <w:bookmarkEnd w:id="17"/>
    <w:bookmarkStart w:id="18" w:name="potentially-bearish"/>
    <w:p>
      <w:pPr>
        <w:pStyle w:val="Heading3"/>
      </w:pPr>
      <w:r>
        <w:t xml:space="preserve">Potentially bearish</w:t>
      </w:r>
    </w:p>
    <w:p>
      <w:pPr>
        <w:pStyle w:val="Compact"/>
        <w:numPr>
          <w:ilvl w:val="0"/>
          <w:numId w:val="1010"/>
        </w:numPr>
      </w:pPr>
      <w:r>
        <w:t xml:space="preserve">Pricing that materially lags offshore benchmarks or signs that North American retailers remain reluctant buyers.</w:t>
      </w:r>
    </w:p>
    <w:p>
      <w:pPr>
        <w:pStyle w:val="Compact"/>
        <w:numPr>
          <w:ilvl w:val="0"/>
          <w:numId w:val="1010"/>
        </w:numPr>
      </w:pPr>
      <w:r>
        <w:t xml:space="preserve">A reduction in full-year production guidance or a further Yazoo restart delay.</w:t>
      </w:r>
    </w:p>
    <w:p>
      <w:pPr>
        <w:pStyle w:val="Compact"/>
        <w:numPr>
          <w:ilvl w:val="0"/>
          <w:numId w:val="1010"/>
        </w:numPr>
      </w:pPr>
      <w:r>
        <w:t xml:space="preserve">Higher-than-expected maintenance, freight, or gas costs.</w:t>
      </w:r>
    </w:p>
    <w:p>
      <w:pPr>
        <w:pStyle w:val="Compact"/>
        <w:numPr>
          <w:ilvl w:val="0"/>
          <w:numId w:val="1010"/>
        </w:numPr>
      </w:pPr>
      <w:r>
        <w:t xml:space="preserve">Evidence that Chinese exports or restored Middle East supply are normalizing the global balance faster than expected.</w:t>
      </w:r>
    </w:p>
    <w:p>
      <w:pPr>
        <w:pStyle w:val="Compact"/>
        <w:numPr>
          <w:ilvl w:val="0"/>
          <w:numId w:val="1010"/>
        </w:numPr>
      </w:pPr>
      <w:r>
        <w:t xml:space="preserve">Blue Point capex inflation, permitting slippage, or lower confidence in low-carbon-ammonia returns.</w:t>
      </w:r>
    </w:p>
    <w:p>
      <w:pPr>
        <w:pStyle w:val="Compact"/>
        <w:numPr>
          <w:ilvl w:val="0"/>
          <w:numId w:val="1010"/>
        </w:numPr>
      </w:pPr>
      <w:r>
        <w:t xml:space="preserve">Weak forward sales/customer advances, implying buyer resistance at high fertilizer prices.</w:t>
      </w:r>
    </w:p>
    <w:bookmarkEnd w:id="18"/>
    <w:bookmarkEnd w:id="19"/>
    <w:bookmarkStart w:id="20" w:name="stock-setup"/>
    <w:p>
      <w:pPr>
        <w:pStyle w:val="Heading2"/>
      </w:pPr>
      <w:r>
        <w:t xml:space="preserve">Stock setup</w:t>
      </w:r>
    </w:p>
    <w:p>
      <w:pPr>
        <w:pStyle w:val="FirstParagraph"/>
      </w:pPr>
      <w:r>
        <w:t xml:space="preserve">CF closed at</w:t>
      </w:r>
      <w:r>
        <w:t xml:space="preserve"> </w:t>
      </w:r>
      <m:oMath>
        <m:r>
          <m:t>118.14</m:t>
        </m:r>
        <m:r>
          <m:t>o</m:t>
        </m:r>
        <m:r>
          <m:t>n</m:t>
        </m:r>
        <m:r>
          <m:t>A</m:t>
        </m:r>
        <m:r>
          <m:t>u</m:t>
        </m:r>
        <m:r>
          <m:t>g</m:t>
        </m:r>
        <m:r>
          <m:t>u</m:t>
        </m:r>
        <m:r>
          <m:t>s</m:t>
        </m:r>
        <m:r>
          <m:t>t</m:t>
        </m:r>
        <m:r>
          <m:t>4</m:t>
        </m:r>
        <m:r>
          <m:rPr>
            <m:sty m:val="p"/>
          </m:rPr>
          <m:t>,</m:t>
        </m:r>
        <m:r>
          <m:t>2026</m:t>
        </m:r>
        <m:r>
          <m:rPr>
            <m:sty m:val="p"/>
          </m:rPr>
          <m:t>*</m:t>
        </m:r>
        <m:r>
          <m:rPr>
            <m:sty m:val="p"/>
          </m:rPr>
          <m:t>*</m:t>
        </m:r>
        <m:r>
          <m:rPr>
            <m:sty m:val="p"/>
          </m:rPr>
          <m:t>,</m:t>
        </m:r>
        <m:r>
          <m:t>e</m:t>
        </m:r>
        <m:r>
          <m:t>s</m:t>
        </m:r>
        <m:r>
          <m:t>s</m:t>
        </m:r>
        <m:r>
          <m:t>e</m:t>
        </m:r>
        <m:r>
          <m:t>n</m:t>
        </m:r>
        <m:r>
          <m:t>t</m:t>
        </m:r>
        <m:r>
          <m:t>i</m:t>
        </m:r>
        <m:r>
          <m:t>a</m:t>
        </m:r>
        <m:r>
          <m:t>l</m:t>
        </m:r>
        <m:r>
          <m:t>l</m:t>
        </m:r>
        <m:r>
          <m:t>y</m:t>
        </m:r>
        <m:r>
          <m:t>f</m:t>
        </m:r>
        <m:r>
          <m:t>l</m:t>
        </m:r>
        <m:r>
          <m:t>a</m:t>
        </m:r>
        <m:r>
          <m:t>t</m:t>
        </m:r>
        <m:r>
          <m:t>v</m:t>
        </m:r>
        <m:r>
          <m:t>e</m:t>
        </m:r>
        <m:r>
          <m:t>r</m:t>
        </m:r>
        <m:r>
          <m:t>s</m:t>
        </m:r>
        <m:r>
          <m:t>u</m:t>
        </m:r>
        <m:r>
          <m:t>s</m:t>
        </m:r>
        <m:r>
          <m:t>t</m:t>
        </m:r>
        <m:r>
          <m:t>h</m:t>
        </m:r>
        <m:r>
          <m:t>e</m:t>
        </m:r>
        <m:r>
          <m:rPr>
            <m:sty m:val="p"/>
          </m:rPr>
          <m:t>*</m:t>
        </m:r>
        <m:r>
          <m:rPr>
            <m:sty m:val="p"/>
          </m:rPr>
          <m:t>*</m:t>
        </m:r>
      </m:oMath>
      <w:r>
        <w:rPr>
          <w:b/>
          <w:bCs/>
        </w:rPr>
        <w:t xml:space="preserve">119.76 close on May 6</w:t>
      </w:r>
      <w:r>
        <w:t xml:space="preserve">, the day of its 1Q release, despite a highly constructive fundamental narrative. That suggests investors may be looking for proof that elevated global prices translate into realized North American margins and durable second-half earnings power—not merely higher spot pricing.</w:t>
      </w:r>
    </w:p>
    <w:bookmarkEnd w:id="20"/>
    <w:bookmarkStart w:id="21" w:name="investor-takeaway"/>
    <w:p>
      <w:pPr>
        <w:pStyle w:val="Heading2"/>
      </w:pPr>
      <w:r>
        <w:t xml:space="preserve">Investor takeaway</w:t>
      </w:r>
    </w:p>
    <w:p>
      <w:pPr>
        <w:pStyle w:val="FirstParagraph"/>
      </w:pPr>
      <w:r>
        <w:t xml:space="preserve">The 2Q report should be approached as a</w:t>
      </w:r>
      <w:r>
        <w:t xml:space="preserve"> </w:t>
      </w:r>
      <w:r>
        <w:rPr>
          <w:b/>
          <w:bCs/>
        </w:rPr>
        <w:t xml:space="preserve">margin-and-outlook event</w:t>
      </w:r>
      <w:r>
        <w:t xml:space="preserve">, not simply an EPS beat/miss event. CF’s investment case rests on a widening spread between global nitrogen values and North American production economics, supported by its scale, logistics network, product-mix flexibility, and cash-return capacity.</w:t>
      </w:r>
    </w:p>
    <w:p>
      <w:pPr>
        <w:pStyle w:val="BodyText"/>
      </w:pPr>
      <w:r>
        <w:t xml:space="preserve">The most important answer from management:</w:t>
      </w:r>
      <w:r>
        <w:t xml:space="preserve"> </w:t>
      </w:r>
      <w:r>
        <w:rPr>
          <w:b/>
          <w:bCs/>
        </w:rPr>
        <w:t xml:space="preserve">Has the company converted the global supply shock into realized second-half pricing and a higher sustainable earnings baseline, or is the benefit still largely visible only in spot-market indicators?</w:t>
      </w:r>
    </w:p>
    <w:p>
      <w:pPr>
        <w:pStyle w:val="BodyText"/>
      </w:pPr>
      <w:r>
        <w:rPr>
          <w:i/>
          <w:iCs/>
        </w:rPr>
        <w:t xml:space="preserve">Sources: CF Industries’ 1Q26 earnings release, 1Q26 earnings-call transcript, and 1Q26 Form 10-Q; CF share-price data through August 4, 2026.</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2026-08-05T01:29:34Z</dcterms:created>
  <dcterms:modified xsi:type="dcterms:W3CDTF">2026-08-05T01:29:34Z</dcterms:modified>
</cp:coreProperties>
</file>

<file path=docProps/custom.xml><?xml version="1.0" encoding="utf-8"?>
<Properties xmlns="http://schemas.openxmlformats.org/officeDocument/2006/custom-properties" xmlns:vt="http://schemas.openxmlformats.org/officeDocument/2006/docPropsVTypes"/>
</file>