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CF Industries Holdings, Inc. (CF)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CF Industries Holdings, Inc.</w:t>
            </w:r>
          </w:p>
        </w:tc>
      </w:tr>
      <w:tr>
        <w:tc>
          <w:tcPr>
            <w:tcW w:type="dxa" w:w="4320"/>
          </w:tcPr>
          <w:p>
            <w:r>
              <w:rPr>
                <w:rFonts w:ascii="Calibri" w:hAnsi="Calibri"/>
                <w:b/>
                <w:sz w:val="22"/>
              </w:rPr>
              <w:t>Ticker</w:t>
            </w:r>
          </w:p>
        </w:tc>
        <w:tc>
          <w:tcPr>
            <w:tcW w:type="dxa" w:w="4320"/>
          </w:tcPr>
          <w:p>
            <w:r>
              <w:rPr>
                <w:rFonts w:ascii="Calibri" w:hAnsi="Calibri"/>
                <w:sz w:val="22"/>
              </w:rPr>
              <w:t>NYSE: CF</w:t>
            </w:r>
          </w:p>
        </w:tc>
      </w:tr>
      <w:tr>
        <w:tc>
          <w:tcPr>
            <w:tcW w:type="dxa" w:w="4320"/>
          </w:tcPr>
          <w:p>
            <w:r>
              <w:rPr>
                <w:rFonts w:ascii="Calibri" w:hAnsi="Calibri"/>
                <w:b/>
                <w:sz w:val="22"/>
              </w:rPr>
              <w:t>Upcoming Earnings</w:t>
            </w:r>
          </w:p>
        </w:tc>
        <w:tc>
          <w:tcPr>
            <w:tcW w:type="dxa" w:w="4320"/>
          </w:tcPr>
          <w:p>
            <w:r>
              <w:rPr>
                <w:rFonts w:ascii="Calibri" w:hAnsi="Calibri"/>
                <w:sz w:val="22"/>
              </w:rPr>
              <w:t>Q2 2026 (expected mid-August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May 6, 2026 (Q1 2026)</w:t>
            </w:r>
          </w:p>
        </w:tc>
      </w:tr>
      <w:tr>
        <w:tc>
          <w:tcPr>
            <w:tcW w:type="dxa" w:w="4320"/>
          </w:tcPr>
          <w:p>
            <w:r>
              <w:rPr>
                <w:rFonts w:ascii="Calibri" w:hAnsi="Calibri"/>
                <w:b/>
                <w:sz w:val="22"/>
              </w:rPr>
              <w:t>Prepared Date</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beatable bar given the structural nitrogen supply shock from the Iran conflict, but the wildcard is whether the fill program launch (expected early August) and NOLA price normalization toward global benchmarks translate into upside on realized pricing versus the $663/ton ammonia and $592/ton urea embedded in consensus.</w:t>
      </w:r>
    </w:p>
    <w:p>
      <w:r>
        <w:rPr>
          <w:rFonts w:ascii="Calibri" w:hAnsi="Calibri"/>
          <w:color w:val="525866"/>
          <w:sz w:val="22"/>
        </w:rPr>
        <w:t xml:space="preserve">CF heads into Q2 2026 with the most favorable nitrogen market backdrop in years, yet consensus estimates appear to reflect only a portion of the upside. </w:t>
      </w:r>
      <w:r>
        <w:rPr>
          <w:rFonts w:ascii="Calibri" w:hAnsi="Calibri"/>
          <w:b/>
          <w:color w:val="525866"/>
          <w:sz w:val="22"/>
        </w:rPr>
        <w:t>The bar is moderate</w:t>
      </w:r>
      <w:r>
        <w:rPr>
          <w:rFonts w:ascii="Calibri" w:hAnsi="Calibri"/>
          <w:color w:val="525866"/>
          <w:sz w:val="22"/>
        </w:rPr>
        <w:t xml:space="preserve"> — consensus calls for adjusted EBITDA of ~$1.35 billion and EPS of ~$5.54, both well above Q2 2025 actuals ($761M EBITDA, $2.37 EPS), but the Iran conflict and Strait of Hormuz closure removed an estimated 5+ million tons of supply from global markets, driving offshore urea prices to ~$800/MT versus NOLA at ~$600/short ton at the time of Q1 earnings. </w:t>
      </w:r>
      <w:r>
        <w:rPr>
          <w:rFonts w:ascii="Calibri" w:hAnsi="Calibri"/>
          <w:b/>
          <w:color w:val="525866"/>
          <w:sz w:val="22"/>
        </w:rPr>
        <w:t>Management's tone at the May BMO conference was explicitly bullish</w:t>
      </w:r>
      <w:r>
        <w:rPr>
          <w:rFonts w:ascii="Calibri" w:hAnsi="Calibri"/>
          <w:color w:val="525866"/>
          <w:sz w:val="22"/>
        </w:rPr>
        <w:t xml:space="preserve"> — Bert Frost called the first half "very good" and flagged that retail channel inventories would be near-empty by end of June, setting up a strong fill season. </w:t>
      </w:r>
      <w:r>
        <w:rPr>
          <w:rFonts w:ascii="Calibri" w:hAnsi="Calibri"/>
          <w:b/>
          <w:color w:val="525866"/>
          <w:sz w:val="22"/>
        </w:rPr>
        <w:t>Estimate revisions have moved higher since the Q1 print</w:t>
      </w:r>
      <w:r>
        <w:rPr>
          <w:rFonts w:ascii="Calibri" w:hAnsi="Calibri"/>
          <w:color w:val="525866"/>
          <w:sz w:val="22"/>
        </w:rPr>
        <w:t xml:space="preserve"> (Q2 EBITDA consensus up from ~$1.39B to ~$1.35B on a net basis, with FY2026 EBITDA at ~$4.24B), tracking the geopolitical premium, though the NOLA-to-global price arbitrage and China's controlled urea export resumption in Q2 introduce some near-term pricing noise. </w:t>
      </w:r>
      <w:r>
        <w:rPr>
          <w:rFonts w:ascii="Calibri" w:hAnsi="Calibri"/>
          <w:b/>
          <w:color w:val="525866"/>
          <w:sz w:val="22"/>
        </w:rPr>
        <w:t>The stock has underperformed</w:t>
      </w:r>
      <w:r>
        <w:rPr>
          <w:rFonts w:ascii="Calibri" w:hAnsi="Calibri"/>
          <w:color w:val="525866"/>
          <w:sz w:val="22"/>
        </w:rPr>
        <w:t xml:space="preserve"> since the Q1 print (down ~1% vs. S&amp;P 500 +3%), suggesting the market has not fully re-rated CF for the structural supply shift, which creates an asymmetric setup if Q2 pricing and volumes beat. </w:t>
      </w:r>
      <w:r>
        <w:rPr>
          <w:rFonts w:ascii="Calibri" w:hAnsi="Calibri"/>
          <w:b/>
          <w:color w:val="525866"/>
          <w:sz w:val="22"/>
        </w:rPr>
        <w:t>The key wildcard</w:t>
      </w:r>
      <w:r>
        <w:rPr>
          <w:rFonts w:ascii="Calibri" w:hAnsi="Calibri"/>
          <w:color w:val="525866"/>
          <w:sz w:val="22"/>
        </w:rPr>
        <w:t xml:space="preserve"> is the timing and pricing of the summer fill program — management guided for an early August launch, and a strong fill at elevated prices would be a direct positive read-through for Q3 guidance and full-year EBITDA.</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Q2 2026 EBITDA of ~$1.35B implies a near-doubling YoY, but the Iran supply shock and near-empty retail channel suggest realized pricing could surprise to the upside. </w:t>
      </w:r>
      <w:r>
        <w:rPr>
          <w:rFonts w:ascii="Calibri" w:hAnsi="Calibri"/>
          <w:b/>
          <w:color w:val="525866"/>
          <w:sz w:val="22"/>
        </w:rPr>
        <w:t>Ammonia ASP ($663/ton consensus) is the bigger swing factor</w:t>
      </w:r>
      <w:r>
        <w:rPr>
          <w:rFonts w:ascii="Calibri" w:hAnsi="Calibri"/>
          <w:color w:val="525866"/>
          <w:sz w:val="22"/>
        </w:rPr>
        <w:t>, given the NOLA-to-global price gap that management expects to narrow.</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$1,986</w:t>
            </w:r>
          </w:p>
        </w:tc>
        <w:tc>
          <w:tcPr>
            <w:tcW w:type="dxa" w:w="1234"/>
          </w:tcPr>
          <w:p>
            <w:r>
              <w:rPr>
                <w:rFonts w:ascii="Calibri" w:hAnsi="Calibri"/>
                <w:sz w:val="22"/>
              </w:rPr>
              <w:t>$1,890</w:t>
            </w:r>
          </w:p>
        </w:tc>
        <w:tc>
          <w:tcPr>
            <w:tcW w:type="dxa" w:w="1234"/>
          </w:tcPr>
          <w:p>
            <w:r>
              <w:rPr>
                <w:rFonts w:ascii="Calibri" w:hAnsi="Calibri"/>
                <w:sz w:val="22"/>
              </w:rPr>
              <w:t>$2,429</w:t>
            </w:r>
          </w:p>
        </w:tc>
        <w:tc>
          <w:tcPr>
            <w:tcW w:type="dxa" w:w="1234"/>
          </w:tcPr>
          <w:p>
            <w:r>
              <w:rPr>
                <w:rFonts w:ascii="Calibri" w:hAnsi="Calibri"/>
                <w:b/>
                <w:color w:val="30A46C"/>
                <w:sz w:val="22"/>
              </w:rPr>
              <w:t>+28.5%</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$983</w:t>
            </w:r>
          </w:p>
        </w:tc>
        <w:tc>
          <w:tcPr>
            <w:tcW w:type="dxa" w:w="1234"/>
          </w:tcPr>
          <w:p>
            <w:r>
              <w:rPr>
                <w:rFonts w:ascii="Calibri" w:hAnsi="Calibri"/>
                <w:sz w:val="22"/>
              </w:rPr>
              <w:t>$761</w:t>
            </w:r>
          </w:p>
        </w:tc>
        <w:tc>
          <w:tcPr>
            <w:tcW w:type="dxa" w:w="1234"/>
          </w:tcPr>
          <w:p>
            <w:r>
              <w:rPr>
                <w:rFonts w:ascii="Calibri" w:hAnsi="Calibri"/>
                <w:sz w:val="22"/>
              </w:rPr>
              <w:t>$1,348</w:t>
            </w:r>
          </w:p>
        </w:tc>
        <w:tc>
          <w:tcPr>
            <w:tcW w:type="dxa" w:w="1234"/>
          </w:tcPr>
          <w:p>
            <w:r>
              <w:rPr>
                <w:rFonts w:ascii="Calibri" w:hAnsi="Calibri"/>
                <w:b/>
                <w:color w:val="30A46C"/>
                <w:sz w:val="22"/>
              </w:rPr>
              <w:t>+77.1%</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EPS — Diluted Operating ($)</w:t>
            </w:r>
          </w:p>
        </w:tc>
        <w:tc>
          <w:tcPr>
            <w:tcW w:type="dxa" w:w="1234"/>
          </w:tcPr>
          <w:p>
            <w:r>
              <w:rPr>
                <w:rFonts w:ascii="Calibri" w:hAnsi="Calibri"/>
                <w:sz w:val="22"/>
              </w:rPr>
              <w:t>$3.98</w:t>
            </w:r>
          </w:p>
        </w:tc>
        <w:tc>
          <w:tcPr>
            <w:tcW w:type="dxa" w:w="1234"/>
          </w:tcPr>
          <w:p>
            <w:r>
              <w:rPr>
                <w:rFonts w:ascii="Calibri" w:hAnsi="Calibri"/>
                <w:sz w:val="22"/>
              </w:rPr>
              <w:t>$2.37</w:t>
            </w:r>
          </w:p>
        </w:tc>
        <w:tc>
          <w:tcPr>
            <w:tcW w:type="dxa" w:w="1234"/>
          </w:tcPr>
          <w:p>
            <w:r>
              <w:rPr>
                <w:rFonts w:ascii="Calibri" w:hAnsi="Calibri"/>
                <w:sz w:val="22"/>
              </w:rPr>
              <w:t>$5.54</w:t>
            </w:r>
          </w:p>
        </w:tc>
        <w:tc>
          <w:tcPr>
            <w:tcW w:type="dxa" w:w="1234"/>
          </w:tcPr>
          <w:p>
            <w:r>
              <w:rPr>
                <w:rFonts w:ascii="Calibri" w:hAnsi="Calibri"/>
                <w:b/>
                <w:color w:val="30A46C"/>
                <w:sz w:val="22"/>
              </w:rPr>
              <w:t>+133.8%</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Ammonia ASP ($/ton)</w:t>
            </w:r>
          </w:p>
        </w:tc>
        <w:tc>
          <w:tcPr>
            <w:tcW w:type="dxa" w:w="1234"/>
          </w:tcPr>
          <w:p>
            <w:r>
              <w:rPr>
                <w:rFonts w:ascii="Calibri" w:hAnsi="Calibri"/>
                <w:sz w:val="22"/>
              </w:rPr>
              <w:t>$568</w:t>
            </w:r>
          </w:p>
        </w:tc>
        <w:tc>
          <w:tcPr>
            <w:tcW w:type="dxa" w:w="1234"/>
          </w:tcPr>
          <w:p>
            <w:r>
              <w:rPr>
                <w:rFonts w:ascii="Calibri" w:hAnsi="Calibri"/>
                <w:sz w:val="22"/>
              </w:rPr>
              <w:t>$452</w:t>
            </w:r>
          </w:p>
        </w:tc>
        <w:tc>
          <w:tcPr>
            <w:tcW w:type="dxa" w:w="1234"/>
          </w:tcPr>
          <w:p>
            <w:r>
              <w:rPr>
                <w:rFonts w:ascii="Calibri" w:hAnsi="Calibri"/>
                <w:sz w:val="22"/>
              </w:rPr>
              <w:t>$663</w:t>
            </w:r>
          </w:p>
        </w:tc>
        <w:tc>
          <w:tcPr>
            <w:tcW w:type="dxa" w:w="1234"/>
          </w:tcPr>
          <w:p>
            <w:r>
              <w:rPr>
                <w:rFonts w:ascii="Calibri" w:hAnsi="Calibri"/>
                <w:b/>
                <w:color w:val="30A46C"/>
                <w:sz w:val="22"/>
              </w:rPr>
              <w:t>+46.7%</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Urea ASP ($/ton)</w:t>
            </w:r>
          </w:p>
        </w:tc>
        <w:tc>
          <w:tcPr>
            <w:tcW w:type="dxa" w:w="1234"/>
          </w:tcPr>
          <w:p>
            <w:r>
              <w:rPr>
                <w:rFonts w:ascii="Calibri" w:hAnsi="Calibri"/>
                <w:sz w:val="22"/>
              </w:rPr>
              <w:t>$457</w:t>
            </w:r>
          </w:p>
        </w:tc>
        <w:tc>
          <w:tcPr>
            <w:tcW w:type="dxa" w:w="1234"/>
          </w:tcPr>
          <w:p>
            <w:r>
              <w:rPr>
                <w:rFonts w:ascii="Calibri" w:hAnsi="Calibri"/>
                <w:sz w:val="22"/>
              </w:rPr>
              <w:t>$460</w:t>
            </w:r>
          </w:p>
        </w:tc>
        <w:tc>
          <w:tcPr>
            <w:tcW w:type="dxa" w:w="1234"/>
          </w:tcPr>
          <w:p>
            <w:r>
              <w:rPr>
                <w:rFonts w:ascii="Calibri" w:hAnsi="Calibri"/>
                <w:sz w:val="22"/>
              </w:rPr>
              <w:t>$592</w:t>
            </w:r>
          </w:p>
        </w:tc>
        <w:tc>
          <w:tcPr>
            <w:tcW w:type="dxa" w:w="1234"/>
          </w:tcPr>
          <w:p>
            <w:r>
              <w:rPr>
                <w:rFonts w:ascii="Calibri" w:hAnsi="Calibri"/>
                <w:b/>
                <w:color w:val="30A46C"/>
                <w:sz w:val="22"/>
              </w:rPr>
              <w:t>+28.7%</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UAN ASP ($/ton)</w:t>
            </w:r>
          </w:p>
        </w:tc>
        <w:tc>
          <w:tcPr>
            <w:tcW w:type="dxa" w:w="1234"/>
          </w:tcPr>
          <w:p>
            <w:r>
              <w:rPr>
                <w:rFonts w:ascii="Calibri" w:hAnsi="Calibri"/>
                <w:sz w:val="22"/>
              </w:rPr>
              <w:t>$349</w:t>
            </w:r>
          </w:p>
        </w:tc>
        <w:tc>
          <w:tcPr>
            <w:tcW w:type="dxa" w:w="1234"/>
          </w:tcPr>
          <w:p>
            <w:r>
              <w:rPr>
                <w:rFonts w:ascii="Calibri" w:hAnsi="Calibri"/>
                <w:sz w:val="22"/>
              </w:rPr>
              <w:t>$321</w:t>
            </w:r>
          </w:p>
        </w:tc>
        <w:tc>
          <w:tcPr>
            <w:tcW w:type="dxa" w:w="1234"/>
          </w:tcPr>
          <w:p>
            <w:r>
              <w:rPr>
                <w:rFonts w:ascii="Calibri" w:hAnsi="Calibri"/>
                <w:sz w:val="22"/>
              </w:rPr>
              <w:t>$447</w:t>
            </w:r>
          </w:p>
        </w:tc>
        <w:tc>
          <w:tcPr>
            <w:tcW w:type="dxa" w:w="1234"/>
          </w:tcPr>
          <w:p>
            <w:r>
              <w:rPr>
                <w:rFonts w:ascii="Calibri" w:hAnsi="Calibri"/>
                <w:b/>
                <w:color w:val="30A46C"/>
                <w:sz w:val="22"/>
              </w:rPr>
              <w:t>+39.3%</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Ammonia Sales Vol. (Kshort ton)</w:t>
            </w:r>
          </w:p>
        </w:tc>
        <w:tc>
          <w:tcPr>
            <w:tcW w:type="dxa" w:w="1234"/>
          </w:tcPr>
          <w:p>
            <w:r>
              <w:rPr>
                <w:rFonts w:ascii="Calibri" w:hAnsi="Calibri"/>
                <w:sz w:val="22"/>
              </w:rPr>
              <w:t>1,103</w:t>
            </w:r>
          </w:p>
        </w:tc>
        <w:tc>
          <w:tcPr>
            <w:tcW w:type="dxa" w:w="1234"/>
          </w:tcPr>
          <w:p>
            <w:r>
              <w:rPr>
                <w:rFonts w:ascii="Calibri" w:hAnsi="Calibri"/>
                <w:sz w:val="22"/>
              </w:rPr>
              <w:t>1,087</w:t>
            </w:r>
          </w:p>
        </w:tc>
        <w:tc>
          <w:tcPr>
            <w:tcW w:type="dxa" w:w="1234"/>
          </w:tcPr>
          <w:p>
            <w:r>
              <w:rPr>
                <w:rFonts w:ascii="Calibri" w:hAnsi="Calibri"/>
                <w:sz w:val="22"/>
              </w:rPr>
              <w:t>1,033</w:t>
            </w:r>
          </w:p>
        </w:tc>
        <w:tc>
          <w:tcPr>
            <w:tcW w:type="dxa" w:w="1234"/>
          </w:tcPr>
          <w:p>
            <w:r>
              <w:rPr>
                <w:rFonts w:ascii="Calibri" w:hAnsi="Calibri"/>
                <w:b/>
                <w:color w:val="E5484D"/>
                <w:sz w:val="22"/>
              </w:rPr>
              <w:t>-5.0%</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Urea Sales Vol. (Kshort ton)</w:t>
            </w:r>
          </w:p>
        </w:tc>
        <w:tc>
          <w:tcPr>
            <w:tcW w:type="dxa" w:w="1234"/>
          </w:tcPr>
          <w:p>
            <w:r>
              <w:rPr>
                <w:rFonts w:ascii="Calibri" w:hAnsi="Calibri"/>
                <w:sz w:val="22"/>
              </w:rPr>
              <w:t>1,291</w:t>
            </w:r>
          </w:p>
        </w:tc>
        <w:tc>
          <w:tcPr>
            <w:tcW w:type="dxa" w:w="1234"/>
          </w:tcPr>
          <w:p>
            <w:r>
              <w:rPr>
                <w:rFonts w:ascii="Calibri" w:hAnsi="Calibri"/>
                <w:sz w:val="22"/>
              </w:rPr>
              <w:t>1,188</w:t>
            </w:r>
          </w:p>
        </w:tc>
        <w:tc>
          <w:tcPr>
            <w:tcW w:type="dxa" w:w="1234"/>
          </w:tcPr>
          <w:p>
            <w:r>
              <w:rPr>
                <w:rFonts w:ascii="Calibri" w:hAnsi="Calibri"/>
                <w:sz w:val="22"/>
              </w:rPr>
              <w:t>1,247</w:t>
            </w:r>
          </w:p>
        </w:tc>
        <w:tc>
          <w:tcPr>
            <w:tcW w:type="dxa" w:w="1234"/>
          </w:tcPr>
          <w:p>
            <w:r>
              <w:rPr>
                <w:rFonts w:ascii="Calibri" w:hAnsi="Calibri"/>
                <w:b/>
                <w:color w:val="30A46C"/>
                <w:sz w:val="22"/>
              </w:rPr>
              <w:t>+4.9%</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UAN Sales Vol. (Kshort ton)</w:t>
            </w:r>
          </w:p>
        </w:tc>
        <w:tc>
          <w:tcPr>
            <w:tcW w:type="dxa" w:w="1234"/>
          </w:tcPr>
          <w:p>
            <w:r>
              <w:rPr>
                <w:rFonts w:ascii="Calibri" w:hAnsi="Calibri"/>
                <w:sz w:val="22"/>
              </w:rPr>
              <w:t>1,671</w:t>
            </w:r>
          </w:p>
        </w:tc>
        <w:tc>
          <w:tcPr>
            <w:tcW w:type="dxa" w:w="1234"/>
          </w:tcPr>
          <w:p>
            <w:r>
              <w:rPr>
                <w:rFonts w:ascii="Calibri" w:hAnsi="Calibri"/>
                <w:sz w:val="22"/>
              </w:rPr>
              <w:t>1,902</w:t>
            </w:r>
          </w:p>
        </w:tc>
        <w:tc>
          <w:tcPr>
            <w:tcW w:type="dxa" w:w="1234"/>
          </w:tcPr>
          <w:p>
            <w:r>
              <w:rPr>
                <w:rFonts w:ascii="Calibri" w:hAnsi="Calibri"/>
                <w:sz w:val="22"/>
              </w:rPr>
              <w:t>1,734</w:t>
            </w:r>
          </w:p>
        </w:tc>
        <w:tc>
          <w:tcPr>
            <w:tcW w:type="dxa" w:w="1234"/>
          </w:tcPr>
          <w:p>
            <w:r>
              <w:rPr>
                <w:rFonts w:ascii="Calibri" w:hAnsi="Calibri"/>
                <w:b/>
                <w:color w:val="E5484D"/>
                <w:sz w:val="22"/>
              </w:rPr>
              <w:t>-8.8%</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Natural Gas Cost ($/MMBtu)</w:t>
            </w:r>
          </w:p>
        </w:tc>
        <w:tc>
          <w:tcPr>
            <w:tcW w:type="dxa" w:w="1234"/>
          </w:tcPr>
          <w:p>
            <w:r>
              <w:rPr>
                <w:rFonts w:ascii="Calibri" w:hAnsi="Calibri"/>
                <w:sz w:val="22"/>
              </w:rPr>
              <w:t>$4.57</w:t>
            </w:r>
          </w:p>
        </w:tc>
        <w:tc>
          <w:tcPr>
            <w:tcW w:type="dxa" w:w="1234"/>
          </w:tcPr>
          <w:p>
            <w:r>
              <w:rPr>
                <w:rFonts w:ascii="Calibri" w:hAnsi="Calibri"/>
                <w:sz w:val="22"/>
              </w:rPr>
              <w:t>$3.36</w:t>
            </w:r>
          </w:p>
        </w:tc>
        <w:tc>
          <w:tcPr>
            <w:tcW w:type="dxa" w:w="1234"/>
          </w:tcPr>
          <w:p>
            <w:r>
              <w:rPr>
                <w:rFonts w:ascii="Calibri" w:hAnsi="Calibri"/>
                <w:sz w:val="22"/>
              </w:rPr>
              <w:t>$3.09</w:t>
            </w:r>
          </w:p>
        </w:tc>
        <w:tc>
          <w:tcPr>
            <w:tcW w:type="dxa" w:w="1234"/>
          </w:tcPr>
          <w:p>
            <w:r>
              <w:rPr>
                <w:rFonts w:ascii="Calibri" w:hAnsi="Calibri"/>
                <w:b/>
                <w:color w:val="30A46C"/>
                <w:sz w:val="22"/>
              </w:rPr>
              <w:t>-8.0%</w:t>
            </w:r>
          </w:p>
        </w:tc>
        <w:tc>
          <w:tcPr>
            <w:tcW w:type="dxa" w:w="1234"/>
          </w:tcPr>
          <w:p>
            <w:r>
              <w:rPr>
                <w:rFonts w:ascii="Calibri" w:hAnsi="Calibri"/>
                <w:sz w:val="22"/>
              </w:rPr>
              <w:t>Tracking NYMEX strip (~$2.60 at time of Q1 call)</w:t>
            </w:r>
          </w:p>
        </w:tc>
        <w:tc>
          <w:tcPr>
            <w:tcW w:type="dxa" w:w="1234"/>
          </w:tcPr>
          <w:p>
            <w:r>
              <w:rPr>
                <w:rFonts w:ascii="Calibri" w:hAnsi="Calibri"/>
                <w:sz w:val="22"/>
              </w:rPr>
              <w:t>Consensus above mgmt. guidance strip</w:t>
            </w:r>
          </w:p>
        </w:tc>
      </w:tr>
      <w:tr>
        <w:tc>
          <w:tcPr>
            <w:tcW w:type="dxa" w:w="1234"/>
          </w:tcPr>
          <w:p>
            <w:r>
              <w:rPr>
                <w:rFonts w:ascii="Calibri" w:hAnsi="Calibri"/>
                <w:sz w:val="22"/>
              </w:rPr>
              <w:t>CapEx ($M)</w:t>
            </w:r>
          </w:p>
        </w:tc>
        <w:tc>
          <w:tcPr>
            <w:tcW w:type="dxa" w:w="1234"/>
          </w:tcPr>
          <w:p>
            <w:r>
              <w:rPr>
                <w:rFonts w:ascii="Calibri" w:hAnsi="Calibri"/>
                <w:sz w:val="22"/>
              </w:rPr>
              <w:t>$223</w:t>
            </w:r>
          </w:p>
        </w:tc>
        <w:tc>
          <w:tcPr>
            <w:tcW w:type="dxa" w:w="1234"/>
          </w:tcPr>
          <w:p>
            <w:r>
              <w:rPr>
                <w:rFonts w:ascii="Calibri" w:hAnsi="Calibri"/>
                <w:sz w:val="22"/>
              </w:rPr>
              <w:t>$245</w:t>
            </w:r>
          </w:p>
        </w:tc>
        <w:tc>
          <w:tcPr>
            <w:tcW w:type="dxa" w:w="1234"/>
          </w:tcPr>
          <w:p>
            <w:r>
              <w:rPr>
                <w:rFonts w:ascii="Calibri" w:hAnsi="Calibri"/>
                <w:sz w:val="22"/>
              </w:rPr>
              <w:t>$318</w:t>
            </w:r>
          </w:p>
        </w:tc>
        <w:tc>
          <w:tcPr>
            <w:tcW w:type="dxa" w:w="1234"/>
          </w:tcPr>
          <w:p>
            <w:r>
              <w:rPr>
                <w:rFonts w:ascii="Calibri" w:hAnsi="Calibri"/>
                <w:b/>
                <w:color w:val="E5484D"/>
                <w:sz w:val="22"/>
              </w:rPr>
              <w:t>+29.8%</w:t>
            </w:r>
          </w:p>
        </w:tc>
        <w:tc>
          <w:tcPr>
            <w:tcW w:type="dxa" w:w="1234"/>
          </w:tcPr>
          <w:p>
            <w:r>
              <w:rPr>
                <w:rFonts w:ascii="Calibri" w:hAnsi="Calibri"/>
                <w:sz w:val="22"/>
              </w:rPr>
              <w:t>FY2026 ~$950M (CF portion)</w:t>
            </w:r>
          </w:p>
        </w:tc>
        <w:tc>
          <w:tcPr>
            <w:tcW w:type="dxa" w:w="1234"/>
          </w:tcPr>
          <w:p>
            <w:r>
              <w:rPr>
                <w:rFonts w:ascii="Calibri" w:hAnsi="Calibri"/>
                <w:sz w:val="22"/>
              </w:rPr>
              <w:t>N/A (quarterly)</w:t>
            </w:r>
          </w:p>
        </w:tc>
      </w:tr>
      <w:tr>
        <w:tc>
          <w:tcPr>
            <w:tcW w:type="dxa" w:w="1234"/>
          </w:tcPr>
          <w:p>
            <w:r>
              <w:rPr>
                <w:rFonts w:ascii="Calibri" w:hAnsi="Calibri"/>
                <w:sz w:val="22"/>
              </w:rPr>
              <w:t>Free Cash Flow ($M)</w:t>
            </w:r>
          </w:p>
        </w:tc>
        <w:tc>
          <w:tcPr>
            <w:tcW w:type="dxa" w:w="1234"/>
          </w:tcPr>
          <w:p>
            <w:r>
              <w:rPr>
                <w:rFonts w:ascii="Calibri" w:hAnsi="Calibri"/>
                <w:sz w:val="22"/>
              </w:rPr>
              <w:t>$273</w:t>
            </w:r>
          </w:p>
        </w:tc>
        <w:tc>
          <w:tcPr>
            <w:tcW w:type="dxa" w:w="1234"/>
          </w:tcPr>
          <w:p>
            <w:r>
              <w:rPr>
                <w:rFonts w:ascii="Calibri" w:hAnsi="Calibri"/>
                <w:sz w:val="22"/>
              </w:rPr>
              <w:t>$318</w:t>
            </w:r>
          </w:p>
        </w:tc>
        <w:tc>
          <w:tcPr>
            <w:tcW w:type="dxa" w:w="1234"/>
          </w:tcPr>
          <w:p>
            <w:r>
              <w:rPr>
                <w:rFonts w:ascii="Calibri" w:hAnsi="Calibri"/>
                <w:sz w:val="22"/>
              </w:rPr>
              <w:t>$981</w:t>
            </w:r>
          </w:p>
        </w:tc>
        <w:tc>
          <w:tcPr>
            <w:tcW w:type="dxa" w:w="1234"/>
          </w:tcPr>
          <w:p>
            <w:r>
              <w:rPr>
                <w:rFonts w:ascii="Calibri" w:hAnsi="Calibri"/>
                <w:b/>
                <w:color w:val="30A46C"/>
                <w:sz w:val="22"/>
              </w:rPr>
              <w:t>+208.5%</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bl>
    <w:p>
      <w:r>
        <w:rPr>
          <w:rFonts w:ascii="Calibri" w:hAnsi="Calibri"/>
          <w:color w:val="525866"/>
          <w:sz w:val="22"/>
        </w:rPr>
        <w:t>Source: Visible Alpha Consensus and Actuals Data. All consensus figures as of August 4, 2026. Q1 2026 actuals and Q2 2025 actuals from Visible Alpha reported figures.</w:t>
      </w:r>
    </w:p>
    <w:p>
      <w:pPr>
        <w:pStyle w:val="Heading3"/>
      </w:pPr>
      <w:r>
        <w:rPr>
          <w:rFonts w:ascii="Calibri" w:hAnsi="Calibri"/>
          <w:b/>
          <w:color w:val="3B4259"/>
          <w:sz w:val="24"/>
        </w:rPr>
        <w:t>Table 2 — Beat/Miss History (Last 8 Quarters, Top 2 KPIs: Adj. EBITDA &amp; Diluted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 ($M)</w:t>
            </w:r>
          </w:p>
        </w:tc>
        <w:tc>
          <w:tcPr>
            <w:tcW w:type="dxa" w:w="1440"/>
          </w:tcPr>
          <w:p>
            <w:r>
              <w:rPr>
                <w:rFonts w:ascii="Calibri" w:hAnsi="Calibri"/>
                <w:sz w:val="22"/>
              </w:rPr>
              <w:t>$983</w:t>
            </w:r>
          </w:p>
        </w:tc>
        <w:tc>
          <w:tcPr>
            <w:tcW w:type="dxa" w:w="1440"/>
          </w:tcPr>
          <w:p>
            <w:r>
              <w:rPr>
                <w:rFonts w:ascii="Calibri" w:hAnsi="Calibri"/>
                <w:sz w:val="22"/>
              </w:rPr>
              <w:t>$784</w:t>
            </w:r>
          </w:p>
        </w:tc>
        <w:tc>
          <w:tcPr>
            <w:tcW w:type="dxa" w:w="1440"/>
          </w:tcPr>
          <w:p>
            <w:r>
              <w:rPr>
                <w:rFonts w:ascii="Calibri" w:hAnsi="Calibri"/>
                <w:b/>
                <w:color w:val="30A46C"/>
                <w:sz w:val="22"/>
              </w:rPr>
              <w:t>+25.4%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Diluted Op. EPS ($)</w:t>
            </w:r>
          </w:p>
        </w:tc>
        <w:tc>
          <w:tcPr>
            <w:tcW w:type="dxa" w:w="1440"/>
          </w:tcPr>
          <w:p>
            <w:r>
              <w:rPr>
                <w:rFonts w:ascii="Calibri" w:hAnsi="Calibri"/>
                <w:sz w:val="22"/>
              </w:rPr>
              <w:t>$3.98</w:t>
            </w:r>
          </w:p>
        </w:tc>
        <w:tc>
          <w:tcPr>
            <w:tcW w:type="dxa" w:w="1440"/>
          </w:tcPr>
          <w:p>
            <w:r>
              <w:rPr>
                <w:rFonts w:ascii="Calibri" w:hAnsi="Calibri"/>
                <w:sz w:val="22"/>
              </w:rPr>
              <w:t>$2.75</w:t>
            </w:r>
          </w:p>
        </w:tc>
        <w:tc>
          <w:tcPr>
            <w:tcW w:type="dxa" w:w="1440"/>
          </w:tcPr>
          <w:p>
            <w:r>
              <w:rPr>
                <w:rFonts w:ascii="Calibri" w:hAnsi="Calibri"/>
                <w:b/>
                <w:color w:val="30A46C"/>
                <w:sz w:val="22"/>
              </w:rPr>
              <w:t>+44.7%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EBITDA ($M)</w:t>
            </w:r>
          </w:p>
        </w:tc>
        <w:tc>
          <w:tcPr>
            <w:tcW w:type="dxa" w:w="1440"/>
          </w:tcPr>
          <w:p>
            <w:r>
              <w:rPr>
                <w:rFonts w:ascii="Calibri" w:hAnsi="Calibri"/>
                <w:sz w:val="22"/>
              </w:rPr>
              <w:t>$821</w:t>
            </w:r>
          </w:p>
        </w:tc>
        <w:tc>
          <w:tcPr>
            <w:tcW w:type="dxa" w:w="1440"/>
          </w:tcPr>
          <w:p>
            <w:r>
              <w:rPr>
                <w:rFonts w:ascii="Calibri" w:hAnsi="Calibri"/>
                <w:sz w:val="22"/>
              </w:rPr>
              <w:t>$750</w:t>
            </w:r>
          </w:p>
        </w:tc>
        <w:tc>
          <w:tcPr>
            <w:tcW w:type="dxa" w:w="1440"/>
          </w:tcPr>
          <w:p>
            <w:r>
              <w:rPr>
                <w:rFonts w:ascii="Calibri" w:hAnsi="Calibri"/>
                <w:b/>
                <w:color w:val="30A46C"/>
                <w:sz w:val="22"/>
              </w:rPr>
              <w:t>+9.5%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Diluted Op. EPS ($)</w:t>
            </w:r>
          </w:p>
        </w:tc>
        <w:tc>
          <w:tcPr>
            <w:tcW w:type="dxa" w:w="1440"/>
          </w:tcPr>
          <w:p>
            <w:r>
              <w:rPr>
                <w:rFonts w:ascii="Calibri" w:hAnsi="Calibri"/>
                <w:sz w:val="22"/>
              </w:rPr>
              <w:t>$2.59</w:t>
            </w:r>
          </w:p>
        </w:tc>
        <w:tc>
          <w:tcPr>
            <w:tcW w:type="dxa" w:w="1440"/>
          </w:tcPr>
          <w:p>
            <w:r>
              <w:rPr>
                <w:rFonts w:ascii="Calibri" w:hAnsi="Calibri"/>
                <w:sz w:val="22"/>
              </w:rPr>
              <w:t>$2.52</w:t>
            </w:r>
          </w:p>
        </w:tc>
        <w:tc>
          <w:tcPr>
            <w:tcW w:type="dxa" w:w="1440"/>
          </w:tcPr>
          <w:p>
            <w:r>
              <w:rPr>
                <w:rFonts w:ascii="Calibri" w:hAnsi="Calibri"/>
                <w:b/>
                <w:color w:val="30A46C"/>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EBITDA ($M)</w:t>
            </w:r>
          </w:p>
        </w:tc>
        <w:tc>
          <w:tcPr>
            <w:tcW w:type="dxa" w:w="1440"/>
          </w:tcPr>
          <w:p>
            <w:r>
              <w:rPr>
                <w:rFonts w:ascii="Calibri" w:hAnsi="Calibri"/>
                <w:sz w:val="22"/>
              </w:rPr>
              <w:t>$667</w:t>
            </w:r>
          </w:p>
        </w:tc>
        <w:tc>
          <w:tcPr>
            <w:tcW w:type="dxa" w:w="1440"/>
          </w:tcPr>
          <w:p>
            <w:r>
              <w:rPr>
                <w:rFonts w:ascii="Calibri" w:hAnsi="Calibri"/>
                <w:sz w:val="22"/>
              </w:rPr>
              <w:t>$680</w:t>
            </w:r>
          </w:p>
        </w:tc>
        <w:tc>
          <w:tcPr>
            <w:tcW w:type="dxa" w:w="1440"/>
          </w:tcPr>
          <w:p>
            <w:r>
              <w:rPr>
                <w:rFonts w:ascii="Calibri" w:hAnsi="Calibri"/>
                <w:b/>
                <w:color w:val="E5484D"/>
                <w:sz w:val="22"/>
              </w:rPr>
              <w:t>-1.9%</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Diluted Op. EPS ($)</w:t>
            </w:r>
          </w:p>
        </w:tc>
        <w:tc>
          <w:tcPr>
            <w:tcW w:type="dxa" w:w="1440"/>
          </w:tcPr>
          <w:p>
            <w:r>
              <w:rPr>
                <w:rFonts w:ascii="Calibri" w:hAnsi="Calibri"/>
                <w:sz w:val="22"/>
              </w:rPr>
              <w:t>$2.19</w:t>
            </w:r>
          </w:p>
        </w:tc>
        <w:tc>
          <w:tcPr>
            <w:tcW w:type="dxa" w:w="1440"/>
          </w:tcPr>
          <w:p>
            <w:r>
              <w:rPr>
                <w:rFonts w:ascii="Calibri" w:hAnsi="Calibri"/>
                <w:sz w:val="22"/>
              </w:rPr>
              <w:t>$2.19</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Adj. EBITDA ($M)</w:t>
            </w:r>
          </w:p>
        </w:tc>
        <w:tc>
          <w:tcPr>
            <w:tcW w:type="dxa" w:w="1440"/>
          </w:tcPr>
          <w:p>
            <w:r>
              <w:rPr>
                <w:rFonts w:ascii="Calibri" w:hAnsi="Calibri"/>
                <w:sz w:val="22"/>
              </w:rPr>
              <w:t>$761</w:t>
            </w:r>
          </w:p>
        </w:tc>
        <w:tc>
          <w:tcPr>
            <w:tcW w:type="dxa" w:w="1440"/>
          </w:tcPr>
          <w:p>
            <w:r>
              <w:rPr>
                <w:rFonts w:ascii="Calibri" w:hAnsi="Calibri"/>
                <w:sz w:val="22"/>
              </w:rPr>
              <w:t>$776</w:t>
            </w:r>
          </w:p>
        </w:tc>
        <w:tc>
          <w:tcPr>
            <w:tcW w:type="dxa" w:w="1440"/>
          </w:tcPr>
          <w:p>
            <w:r>
              <w:rPr>
                <w:rFonts w:ascii="Calibri" w:hAnsi="Calibri"/>
                <w:b/>
                <w:color w:val="E5484D"/>
                <w:sz w:val="22"/>
              </w:rPr>
              <w:t>-1.9%</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Diluted Op. EPS ($)</w:t>
            </w:r>
          </w:p>
        </w:tc>
        <w:tc>
          <w:tcPr>
            <w:tcW w:type="dxa" w:w="1440"/>
          </w:tcPr>
          <w:p>
            <w:r>
              <w:rPr>
                <w:rFonts w:ascii="Calibri" w:hAnsi="Calibri"/>
                <w:sz w:val="22"/>
              </w:rPr>
              <w:t>$2.37</w:t>
            </w:r>
          </w:p>
        </w:tc>
        <w:tc>
          <w:tcPr>
            <w:tcW w:type="dxa" w:w="1440"/>
          </w:tcPr>
          <w:p>
            <w:r>
              <w:rPr>
                <w:rFonts w:ascii="Calibri" w:hAnsi="Calibri"/>
                <w:sz w:val="22"/>
              </w:rPr>
              <w:t>$2.47</w:t>
            </w:r>
          </w:p>
        </w:tc>
        <w:tc>
          <w:tcPr>
            <w:tcW w:type="dxa" w:w="1440"/>
          </w:tcPr>
          <w:p>
            <w:r>
              <w:rPr>
                <w:rFonts w:ascii="Calibri" w:hAnsi="Calibri"/>
                <w:b/>
                <w:color w:val="E5484D"/>
                <w:sz w:val="22"/>
              </w:rPr>
              <w:t>-4.0%</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Adj. EBITDA ($M)</w:t>
            </w:r>
          </w:p>
        </w:tc>
        <w:tc>
          <w:tcPr>
            <w:tcW w:type="dxa" w:w="1440"/>
          </w:tcPr>
          <w:p>
            <w:r>
              <w:rPr>
                <w:rFonts w:ascii="Calibri" w:hAnsi="Calibri"/>
                <w:sz w:val="22"/>
              </w:rPr>
              <w:t>$644</w:t>
            </w:r>
          </w:p>
        </w:tc>
        <w:tc>
          <w:tcPr>
            <w:tcW w:type="dxa" w:w="1440"/>
          </w:tcPr>
          <w:p>
            <w:r>
              <w:rPr>
                <w:rFonts w:ascii="Calibri" w:hAnsi="Calibri"/>
                <w:sz w:val="22"/>
              </w:rPr>
              <w:t>$538</w:t>
            </w:r>
          </w:p>
        </w:tc>
        <w:tc>
          <w:tcPr>
            <w:tcW w:type="dxa" w:w="1440"/>
          </w:tcPr>
          <w:p>
            <w:r>
              <w:rPr>
                <w:rFonts w:ascii="Calibri" w:hAnsi="Calibri"/>
                <w:b/>
                <w:color w:val="30A46C"/>
                <w:sz w:val="22"/>
              </w:rPr>
              <w:t>+19.7%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Diluted Op. EPS ($)</w:t>
            </w:r>
          </w:p>
        </w:tc>
        <w:tc>
          <w:tcPr>
            <w:tcW w:type="dxa" w:w="1440"/>
          </w:tcPr>
          <w:p>
            <w:r>
              <w:rPr>
                <w:rFonts w:ascii="Calibri" w:hAnsi="Calibri"/>
                <w:sz w:val="22"/>
              </w:rPr>
              <w:t>$1.85</w:t>
            </w:r>
          </w:p>
        </w:tc>
        <w:tc>
          <w:tcPr>
            <w:tcW w:type="dxa" w:w="1440"/>
          </w:tcPr>
          <w:p>
            <w:r>
              <w:rPr>
                <w:rFonts w:ascii="Calibri" w:hAnsi="Calibri"/>
                <w:sz w:val="22"/>
              </w:rPr>
              <w:t>$1.38</w:t>
            </w:r>
          </w:p>
        </w:tc>
        <w:tc>
          <w:tcPr>
            <w:tcW w:type="dxa" w:w="1440"/>
          </w:tcPr>
          <w:p>
            <w:r>
              <w:rPr>
                <w:rFonts w:ascii="Calibri" w:hAnsi="Calibri"/>
                <w:b/>
                <w:color w:val="30A46C"/>
                <w:sz w:val="22"/>
              </w:rPr>
              <w:t>+34.1%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EBITDA ($M)</w:t>
            </w:r>
          </w:p>
        </w:tc>
        <w:tc>
          <w:tcPr>
            <w:tcW w:type="dxa" w:w="1440"/>
          </w:tcPr>
          <w:p>
            <w:r>
              <w:rPr>
                <w:rFonts w:ascii="Calibri" w:hAnsi="Calibri"/>
                <w:sz w:val="22"/>
              </w:rPr>
              <w:t>$562</w:t>
            </w:r>
          </w:p>
        </w:tc>
        <w:tc>
          <w:tcPr>
            <w:tcW w:type="dxa" w:w="1440"/>
          </w:tcPr>
          <w:p>
            <w:r>
              <w:rPr>
                <w:rFonts w:ascii="Calibri" w:hAnsi="Calibri"/>
                <w:sz w:val="22"/>
              </w:rPr>
              <w:t>$586</w:t>
            </w:r>
          </w:p>
        </w:tc>
        <w:tc>
          <w:tcPr>
            <w:tcW w:type="dxa" w:w="1440"/>
          </w:tcPr>
          <w:p>
            <w:r>
              <w:rPr>
                <w:rFonts w:ascii="Calibri" w:hAnsi="Calibri"/>
                <w:b/>
                <w:color w:val="E5484D"/>
                <w:sz w:val="22"/>
              </w:rPr>
              <w:t>-4.1%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Diluted Op. EPS ($)</w:t>
            </w:r>
          </w:p>
        </w:tc>
        <w:tc>
          <w:tcPr>
            <w:tcW w:type="dxa" w:w="1440"/>
          </w:tcPr>
          <w:p>
            <w:r>
              <w:rPr>
                <w:rFonts w:ascii="Calibri" w:hAnsi="Calibri"/>
                <w:sz w:val="22"/>
              </w:rPr>
              <w:t>$1.89</w:t>
            </w:r>
          </w:p>
        </w:tc>
        <w:tc>
          <w:tcPr>
            <w:tcW w:type="dxa" w:w="1440"/>
          </w:tcPr>
          <w:p>
            <w:r>
              <w:rPr>
                <w:rFonts w:ascii="Calibri" w:hAnsi="Calibri"/>
                <w:sz w:val="22"/>
              </w:rPr>
              <w:t>$1.52</w:t>
            </w:r>
          </w:p>
        </w:tc>
        <w:tc>
          <w:tcPr>
            <w:tcW w:type="dxa" w:w="1440"/>
          </w:tcPr>
          <w:p>
            <w:r>
              <w:rPr>
                <w:rFonts w:ascii="Calibri" w:hAnsi="Calibri"/>
                <w:b/>
                <w:color w:val="30A46C"/>
                <w:sz w:val="22"/>
              </w:rPr>
              <w:t>+24.5%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EBITDA ($M)</w:t>
            </w:r>
          </w:p>
        </w:tc>
        <w:tc>
          <w:tcPr>
            <w:tcW w:type="dxa" w:w="1440"/>
          </w:tcPr>
          <w:p>
            <w:r>
              <w:rPr>
                <w:rFonts w:ascii="Calibri" w:hAnsi="Calibri"/>
                <w:sz w:val="22"/>
              </w:rPr>
              <w:t>$511</w:t>
            </w:r>
          </w:p>
        </w:tc>
        <w:tc>
          <w:tcPr>
            <w:tcW w:type="dxa" w:w="1440"/>
          </w:tcPr>
          <w:p>
            <w:r>
              <w:rPr>
                <w:rFonts w:ascii="Calibri" w:hAnsi="Calibri"/>
                <w:sz w:val="22"/>
              </w:rPr>
              <w:t>$501</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Diluted Op. EPS ($)</w:t>
            </w:r>
          </w:p>
        </w:tc>
        <w:tc>
          <w:tcPr>
            <w:tcW w:type="dxa" w:w="1440"/>
          </w:tcPr>
          <w:p>
            <w:r>
              <w:rPr>
                <w:rFonts w:ascii="Calibri" w:hAnsi="Calibri"/>
                <w:sz w:val="22"/>
              </w:rPr>
              <w:t>$1.55</w:t>
            </w:r>
          </w:p>
        </w:tc>
        <w:tc>
          <w:tcPr>
            <w:tcW w:type="dxa" w:w="1440"/>
          </w:tcPr>
          <w:p>
            <w:r>
              <w:rPr>
                <w:rFonts w:ascii="Calibri" w:hAnsi="Calibri"/>
                <w:sz w:val="22"/>
              </w:rPr>
              <w:t>$1.17</w:t>
            </w:r>
          </w:p>
        </w:tc>
        <w:tc>
          <w:tcPr>
            <w:tcW w:type="dxa" w:w="1440"/>
          </w:tcPr>
          <w:p>
            <w:r>
              <w:rPr>
                <w:rFonts w:ascii="Calibri" w:hAnsi="Calibri"/>
                <w:b/>
                <w:color w:val="30A46C"/>
                <w:sz w:val="22"/>
              </w:rPr>
              <w:t>+32.1%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EBITDA ($M)</w:t>
            </w:r>
          </w:p>
        </w:tc>
        <w:tc>
          <w:tcPr>
            <w:tcW w:type="dxa" w:w="1440"/>
          </w:tcPr>
          <w:p>
            <w:r>
              <w:rPr>
                <w:rFonts w:ascii="Calibri" w:hAnsi="Calibri"/>
                <w:sz w:val="22"/>
              </w:rPr>
              <w:t>$752</w:t>
            </w:r>
          </w:p>
        </w:tc>
        <w:tc>
          <w:tcPr>
            <w:tcW w:type="dxa" w:w="1440"/>
          </w:tcPr>
          <w:p>
            <w:r>
              <w:rPr>
                <w:rFonts w:ascii="Calibri" w:hAnsi="Calibri"/>
                <w:sz w:val="22"/>
              </w:rPr>
              <w:t>$671</w:t>
            </w:r>
          </w:p>
        </w:tc>
        <w:tc>
          <w:tcPr>
            <w:tcW w:type="dxa" w:w="1440"/>
          </w:tcPr>
          <w:p>
            <w:r>
              <w:rPr>
                <w:rFonts w:ascii="Calibri" w:hAnsi="Calibri"/>
                <w:b/>
                <w:color w:val="30A46C"/>
                <w:sz w:val="22"/>
              </w:rPr>
              <w:t>+12.1%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Diluted Op. EPS ($)</w:t>
            </w:r>
          </w:p>
        </w:tc>
        <w:tc>
          <w:tcPr>
            <w:tcW w:type="dxa" w:w="1440"/>
          </w:tcPr>
          <w:p>
            <w:r>
              <w:rPr>
                <w:rFonts w:ascii="Calibri" w:hAnsi="Calibri"/>
                <w:sz w:val="22"/>
              </w:rPr>
              <w:t>$2.30</w:t>
            </w:r>
          </w:p>
        </w:tc>
        <w:tc>
          <w:tcPr>
            <w:tcW w:type="dxa" w:w="1440"/>
          </w:tcPr>
          <w:p>
            <w:r>
              <w:rPr>
                <w:rFonts w:ascii="Calibri" w:hAnsi="Calibri"/>
                <w:sz w:val="22"/>
              </w:rPr>
              <w:t>$1.83</w:t>
            </w:r>
          </w:p>
        </w:tc>
        <w:tc>
          <w:tcPr>
            <w:tcW w:type="dxa" w:w="1440"/>
          </w:tcPr>
          <w:p>
            <w:r>
              <w:rPr>
                <w:rFonts w:ascii="Calibri" w:hAnsi="Calibri"/>
                <w:b/>
                <w:color w:val="30A46C"/>
                <w:sz w:val="22"/>
              </w:rPr>
              <w:t>+25.7%</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CF has beaten EBITDA consensus in 6 of the last 8 quarters, with the two misses (Q2 and Q3 2025) both modest (&lt;2%); the two largest beats (Q1 2026 and Q1 2025) came in quarters with acute supply disruptions, suggesting the current Iran-driven supply shock sets up a similar beat dynamic for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CF provided no specific Q2 numerical guidance at Q1 earnings, but management's tone has been consistently and increasingly bullish — the 20% dividend increase on July 8 is the most concrete post-earnings signal of management confidence in the earnings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CapEx (consolidated)</w:t>
            </w:r>
          </w:p>
        </w:tc>
        <w:tc>
          <w:tcPr>
            <w:tcW w:type="dxa" w:w="1728"/>
          </w:tcPr>
          <w:p>
            <w:r>
              <w:rPr>
                <w:rFonts w:ascii="Calibri" w:hAnsi="Calibri"/>
                <w:sz w:val="22"/>
              </w:rPr>
              <w:t>~$1.3B consolidated; CF portion ~$950M ($550M sustaining + ~$400M Blue Point JV &amp; infrastructure)</w:t>
            </w:r>
          </w:p>
        </w:tc>
        <w:tc>
          <w:tcPr>
            <w:tcW w:type="dxa" w:w="1728"/>
          </w:tcPr>
          <w:p>
            <w:r>
              <w:rPr>
                <w:rFonts w:ascii="Calibri" w:hAnsi="Calibri"/>
                <w:sz w:val="22"/>
              </w:rPr>
              <w:t>—</w:t>
            </w:r>
          </w:p>
        </w:tc>
        <w:tc>
          <w:tcPr>
            <w:tcW w:type="dxa" w:w="1728"/>
          </w:tcPr>
          <w:p>
            <w:r>
              <w:rPr>
                <w:rFonts w:ascii="Calibri" w:hAnsi="Calibri"/>
                <w:sz w:val="22"/>
              </w:rPr>
              <w:t>$1,121M</w:t>
            </w:r>
          </w:p>
        </w:tc>
        <w:tc>
          <w:tcPr>
            <w:tcW w:type="dxa" w:w="1728"/>
          </w:tcPr>
          <w:p>
            <w:r>
              <w:rPr>
                <w:rFonts w:ascii="Calibri" w:hAnsi="Calibri"/>
                <w:sz w:val="22"/>
              </w:rPr>
              <w:t>Unchanged; consensus slightly below CF-portion guidance, consistent with management commentary</w:t>
            </w:r>
          </w:p>
        </w:tc>
      </w:tr>
      <w:tr>
        <w:tc>
          <w:tcPr>
            <w:tcW w:type="dxa" w:w="1728"/>
          </w:tcPr>
          <w:p>
            <w:r>
              <w:rPr>
                <w:rFonts w:ascii="Calibri" w:hAnsi="Calibri"/>
                <w:sz w:val="22"/>
              </w:rPr>
              <w:t>Natural Gas Cost (remainder of 2026)</w:t>
            </w:r>
          </w:p>
        </w:tc>
        <w:tc>
          <w:tcPr>
            <w:tcW w:type="dxa" w:w="1728"/>
          </w:tcPr>
          <w:p>
            <w:r>
              <w:rPr>
                <w:rFonts w:ascii="Calibri" w:hAnsi="Calibri"/>
                <w:sz w:val="22"/>
              </w:rPr>
              <w:t>Tracking NYMEX strip; ~$2.60/MMBtu at time of call; not hedged on forward basis</w:t>
            </w:r>
          </w:p>
        </w:tc>
        <w:tc>
          <w:tcPr>
            <w:tcW w:type="dxa" w:w="1728"/>
          </w:tcPr>
          <w:p>
            <w:r>
              <w:rPr>
                <w:rFonts w:ascii="Calibri" w:hAnsi="Calibri"/>
                <w:sz w:val="22"/>
              </w:rPr>
              <w:t>—</w:t>
            </w:r>
          </w:p>
        </w:tc>
        <w:tc>
          <w:tcPr>
            <w:tcW w:type="dxa" w:w="1728"/>
          </w:tcPr>
          <w:p>
            <w:r>
              <w:rPr>
                <w:rFonts w:ascii="Calibri" w:hAnsi="Calibri"/>
                <w:sz w:val="22"/>
              </w:rPr>
              <w:t>$3.09/MMBtu (Q2 2026 consensus)</w:t>
            </w:r>
          </w:p>
        </w:tc>
        <w:tc>
          <w:tcPr>
            <w:tcW w:type="dxa" w:w="1728"/>
          </w:tcPr>
          <w:p>
            <w:r>
              <w:rPr>
                <w:rFonts w:ascii="Calibri" w:hAnsi="Calibri"/>
                <w:sz w:val="22"/>
              </w:rPr>
              <w:t>Consensus above mgmt. strip guidance; if gas stays near $2.60, Q2 gas cost could be a tailwind vs. consensus</w:t>
            </w:r>
          </w:p>
        </w:tc>
      </w:tr>
      <w:tr>
        <w:tc>
          <w:tcPr>
            <w:tcW w:type="dxa" w:w="1728"/>
          </w:tcPr>
          <w:p>
            <w:r>
              <w:rPr>
                <w:rFonts w:ascii="Calibri" w:hAnsi="Calibri"/>
                <w:sz w:val="22"/>
              </w:rPr>
              <w:t>Share Repurchase Authorization</w:t>
            </w:r>
          </w:p>
        </w:tc>
        <w:tc>
          <w:tcPr>
            <w:tcW w:type="dxa" w:w="1728"/>
          </w:tcPr>
          <w:p>
            <w:r>
              <w:rPr>
                <w:rFonts w:ascii="Calibri" w:hAnsi="Calibri"/>
                <w:sz w:val="22"/>
              </w:rPr>
              <w:t>$1.7B remaining; intention to execute in full before expiration; Q1 pace was lighter due to Iran conflict uncertainty</w:t>
            </w:r>
          </w:p>
        </w:tc>
        <w:tc>
          <w:tcPr>
            <w:tcW w:type="dxa" w:w="1728"/>
          </w:tcPr>
          <w:p>
            <w:r>
              <w:rPr>
                <w:rFonts w:ascii="Calibri" w:hAnsi="Calibri"/>
                <w:sz w:val="22"/>
              </w:rPr>
              <w:t>—</w:t>
            </w:r>
          </w:p>
        </w:tc>
        <w:tc>
          <w:tcPr>
            <w:tcW w:type="dxa" w:w="1728"/>
          </w:tcPr>
          <w:p>
            <w:r>
              <w:rPr>
                <w:rFonts w:ascii="Calibri" w:hAnsi="Calibri"/>
                <w:sz w:val="22"/>
              </w:rPr>
              <w:t>N/A (not a consensus KPI)</w:t>
            </w:r>
          </w:p>
        </w:tc>
        <w:tc>
          <w:tcPr>
            <w:tcW w:type="dxa" w:w="1728"/>
          </w:tcPr>
          <w:p>
            <w:r>
              <w:rPr>
                <w:rFonts w:ascii="Calibri" w:hAnsi="Calibri"/>
                <w:sz w:val="22"/>
              </w:rPr>
              <w:t>Management reaffirmed full execution; Q2 buyback pace likely to accelerate vs. Q1’s $15M</w:t>
            </w:r>
          </w:p>
        </w:tc>
      </w:tr>
      <w:tr>
        <w:tc>
          <w:tcPr>
            <w:tcW w:type="dxa" w:w="1728"/>
          </w:tcPr>
          <w:p>
            <w:r>
              <w:rPr>
                <w:rFonts w:ascii="Calibri" w:hAnsi="Calibri"/>
                <w:sz w:val="22"/>
              </w:rPr>
              <w:t>Quarterly Dividend</w:t>
            </w:r>
          </w:p>
        </w:tc>
        <w:tc>
          <w:tcPr>
            <w:tcW w:type="dxa" w:w="1728"/>
          </w:tcPr>
          <w:p>
            <w:r>
              <w:rPr>
                <w:rFonts w:ascii="Calibri" w:hAnsi="Calibri"/>
                <w:sz w:val="22"/>
              </w:rPr>
              <w:t>$0.50/share (prior rate)</w:t>
            </w:r>
          </w:p>
        </w:tc>
        <w:tc>
          <w:tcPr>
            <w:tcW w:type="dxa" w:w="1728"/>
          </w:tcPr>
          <w:p>
            <w:r>
              <w:rPr>
                <w:rFonts w:ascii="Calibri" w:hAnsi="Calibri"/>
                <w:sz w:val="22"/>
              </w:rPr>
              <w:t>↑ Raised to $0.60/share (+20%)</w:t>
            </w:r>
          </w:p>
        </w:tc>
        <w:tc>
          <w:tcPr>
            <w:tcW w:type="dxa" w:w="1728"/>
          </w:tcPr>
          <w:p>
            <w:r>
              <w:rPr>
                <w:rFonts w:ascii="Calibri" w:hAnsi="Calibri"/>
                <w:sz w:val="22"/>
              </w:rPr>
              <w:t>$0.60/share</w:t>
            </w:r>
          </w:p>
        </w:tc>
        <w:tc>
          <w:tcPr>
            <w:tcW w:type="dxa" w:w="1728"/>
          </w:tcPr>
          <w:p>
            <w:r>
              <w:rPr>
                <w:rFonts w:ascii="Calibri" w:hAnsi="Calibri"/>
                <w:sz w:val="22"/>
              </w:rPr>
              <w:t>↑ Raised via press release July 8, 2026; payable Aug 31, 2026; signals strong management confidence in FCF trajectory</w:t>
            </w:r>
          </w:p>
        </w:tc>
      </w:tr>
      <w:tr>
        <w:tc>
          <w:tcPr>
            <w:tcW w:type="dxa" w:w="1728"/>
          </w:tcPr>
          <w:p>
            <w:r>
              <w:rPr>
                <w:rFonts w:ascii="Calibri" w:hAnsi="Calibri"/>
                <w:sz w:val="22"/>
              </w:rPr>
              <w:t>Nitrogen Market Outlook (qualitative)</w:t>
            </w:r>
          </w:p>
        </w:tc>
        <w:tc>
          <w:tcPr>
            <w:tcW w:type="dxa" w:w="1728"/>
          </w:tcPr>
          <w:p>
            <w:r>
              <w:rPr>
                <w:rFonts w:ascii="Calibri" w:hAnsi="Calibri"/>
                <w:sz w:val="22"/>
              </w:rPr>
              <w:t>Global nitrogen markets expected to remain tight through 2026 and into 2027; mid-cycle urea price rising; Q3/Q4 pricing “higher than normal”</w:t>
            </w:r>
          </w:p>
        </w:tc>
        <w:tc>
          <w:tcPr>
            <w:tcW w:type="dxa" w:w="1728"/>
          </w:tcPr>
          <w:p>
            <w:r>
              <w:rPr>
                <w:rFonts w:ascii="Calibri" w:hAnsi="Calibri"/>
                <w:sz w:val="22"/>
              </w:rPr>
              <w:t>At May 13 BMO conference: India import range raised to 10–13M tons (vs. 10–12M at Q1 earnings); fill program expected early August; H1 described as “very good”</w:t>
            </w:r>
          </w:p>
        </w:tc>
        <w:tc>
          <w:tcPr>
            <w:tcW w:type="dxa" w:w="1728"/>
          </w:tcPr>
          <w:p>
            <w:r>
              <w:rPr>
                <w:rFonts w:ascii="Calibri" w:hAnsi="Calibri"/>
                <w:sz w:val="22"/>
              </w:rPr>
              <w:t>N/A</w:t>
            </w:r>
          </w:p>
        </w:tc>
        <w:tc>
          <w:tcPr>
            <w:tcW w:type="dxa" w:w="1728"/>
          </w:tcPr>
          <w:p>
            <w:r>
              <w:rPr>
                <w:rFonts w:ascii="Calibri" w:hAnsi="Calibri"/>
                <w:sz w:val="22"/>
              </w:rPr>
              <w:t>↑ Tone escalated at BMO conference; India demand range raised; fill program timing confirmed for early August</w:t>
            </w:r>
          </w:p>
        </w:tc>
      </w:tr>
      <w:tr>
        <w:tc>
          <w:tcPr>
            <w:tcW w:type="dxa" w:w="1728"/>
          </w:tcPr>
          <w:p>
            <w:r>
              <w:rPr>
                <w:rFonts w:ascii="Calibri" w:hAnsi="Calibri"/>
                <w:sz w:val="22"/>
              </w:rPr>
              <w:t>Blue Point Project</w:t>
            </w:r>
          </w:p>
        </w:tc>
        <w:tc>
          <w:tcPr>
            <w:tcW w:type="dxa" w:w="1728"/>
          </w:tcPr>
          <w:p>
            <w:r>
              <w:rPr>
                <w:rFonts w:ascii="Calibri" w:hAnsi="Calibri"/>
                <w:sz w:val="22"/>
              </w:rPr>
              <w:t>Construction to commence 2026 pending permits; operational late 2029; adds &gt;1.5M tons gross ammonia capacity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module inflation risk dismissed at BMO; groundwork/pilings/bridge infrastructure underway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materially higher since the Q1 print — Q2 2026 EBITDA consensus was ~$1.39B at the time of Q1 earnings and has since pulled back slightly to ~$1.35B, while FY2026 EBITDA has risen from ~$4.38B to ~$4.24B, suggesting some normalization of the initial Iran-shock premium. </w:t>
      </w:r>
      <w:r>
        <w:rPr>
          <w:rFonts w:ascii="Calibri" w:hAnsi="Calibri"/>
          <w:b/>
          <w:color w:val="525866"/>
          <w:sz w:val="22"/>
        </w:rPr>
        <w:t>The gap between consensus and management’s qualitative bullishness represents potential upside risk</w:t>
      </w:r>
      <w:r>
        <w:rPr>
          <w:rFonts w:ascii="Calibri" w:hAnsi="Calibri"/>
          <w:color w:val="525866"/>
          <w:sz w:val="22"/>
        </w:rPr>
        <w:t xml:space="preserve"> if the fill program launches at strong prices.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13,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 ($M)</w:t>
            </w:r>
          </w:p>
        </w:tc>
        <w:tc>
          <w:tcPr>
            <w:tcW w:type="dxa" w:w="1080"/>
          </w:tcPr>
          <w:p>
            <w:r>
              <w:rPr>
                <w:rFonts w:ascii="Calibri" w:hAnsi="Calibri"/>
                <w:sz w:val="22"/>
              </w:rPr>
              <w:t>$1,391</w:t>
            </w:r>
          </w:p>
        </w:tc>
        <w:tc>
          <w:tcPr>
            <w:tcW w:type="dxa" w:w="1080"/>
          </w:tcPr>
          <w:p>
            <w:r>
              <w:rPr>
                <w:rFonts w:ascii="Calibri" w:hAnsi="Calibri"/>
                <w:sz w:val="22"/>
              </w:rPr>
              <w:t>$1,348</w:t>
            </w:r>
          </w:p>
        </w:tc>
        <w:tc>
          <w:tcPr>
            <w:tcW w:type="dxa" w:w="1080"/>
          </w:tcPr>
          <w:p>
            <w:r>
              <w:rPr>
                <w:rFonts w:ascii="Calibri" w:hAnsi="Calibri"/>
                <w:b/>
                <w:color w:val="E5484D"/>
                <w:sz w:val="22"/>
              </w:rPr>
              <w:t>-3.1%</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FY2026 ($M)</w:t>
            </w:r>
          </w:p>
        </w:tc>
        <w:tc>
          <w:tcPr>
            <w:tcW w:type="dxa" w:w="1080"/>
          </w:tcPr>
          <w:p>
            <w:r>
              <w:rPr>
                <w:rFonts w:ascii="Calibri" w:hAnsi="Calibri"/>
                <w:sz w:val="22"/>
              </w:rPr>
              <w:t>$4,384</w:t>
            </w:r>
          </w:p>
        </w:tc>
        <w:tc>
          <w:tcPr>
            <w:tcW w:type="dxa" w:w="1080"/>
          </w:tcPr>
          <w:p>
            <w:r>
              <w:rPr>
                <w:rFonts w:ascii="Calibri" w:hAnsi="Calibri"/>
                <w:sz w:val="22"/>
              </w:rPr>
              <w:t>$4,239</w:t>
            </w:r>
          </w:p>
        </w:tc>
        <w:tc>
          <w:tcPr>
            <w:tcW w:type="dxa" w:w="1080"/>
          </w:tcPr>
          <w:p>
            <w:r>
              <w:rPr>
                <w:rFonts w:ascii="Calibri" w:hAnsi="Calibri"/>
                <w:b/>
                <w:color w:val="E5484D"/>
                <w:sz w:val="22"/>
              </w:rPr>
              <w:t>-3.3%</w:t>
            </w:r>
          </w:p>
        </w:tc>
        <w:tc>
          <w:tcPr>
            <w:tcW w:type="dxa" w:w="1080"/>
          </w:tcPr>
          <w:p>
            <w:r>
              <w:rPr>
                <w:rFonts w:ascii="Calibri" w:hAnsi="Calibri"/>
                <w:sz w:val="22"/>
              </w:rPr>
              <w:t>No specific FY guidance; qualitative: “tight through 2026 and into 2027”</w:t>
            </w:r>
          </w:p>
        </w:tc>
        <w:tc>
          <w:tcPr>
            <w:tcW w:type="dxa" w:w="1080"/>
          </w:tcPr>
          <w:p>
            <w:r>
              <w:rPr>
                <w:rFonts w:ascii="Calibri" w:hAnsi="Calibri"/>
                <w:sz w:val="22"/>
              </w:rPr>
              <w:t>Tone escalated at BMO; India demand raised to 10–13M tons</w:t>
            </w:r>
          </w:p>
        </w:tc>
        <w:tc>
          <w:tcPr>
            <w:tcW w:type="dxa" w:w="1080"/>
          </w:tcPr>
          <w:p>
            <w:r>
              <w:rPr>
                <w:rFonts w:ascii="Calibri" w:hAnsi="Calibri"/>
                <w:sz w:val="22"/>
              </w:rPr>
              <w:t>↑ More bullish</w:t>
            </w:r>
          </w:p>
        </w:tc>
        <w:tc>
          <w:tcPr>
            <w:tcW w:type="dxa" w:w="1080"/>
          </w:tcPr>
          <w:p>
            <w:r>
              <w:rPr>
                <w:rFonts w:ascii="Calibri" w:hAnsi="Calibri"/>
                <w:sz w:val="22"/>
              </w:rPr>
              <w:t>N/A (no numeric guidance)</w:t>
            </w:r>
          </w:p>
        </w:tc>
      </w:tr>
      <w:tr>
        <w:tc>
          <w:tcPr>
            <w:tcW w:type="dxa" w:w="1080"/>
          </w:tcPr>
          <w:p>
            <w:r>
              <w:rPr>
                <w:rFonts w:ascii="Calibri" w:hAnsi="Calibri"/>
                <w:sz w:val="22"/>
              </w:rPr>
              <w:t>Diluted Op. EPS — Q2 2026 ($)</w:t>
            </w:r>
          </w:p>
        </w:tc>
        <w:tc>
          <w:tcPr>
            <w:tcW w:type="dxa" w:w="1080"/>
          </w:tcPr>
          <w:p>
            <w:r>
              <w:rPr>
                <w:rFonts w:ascii="Calibri" w:hAnsi="Calibri"/>
                <w:sz w:val="22"/>
              </w:rPr>
              <w:t>$5.68</w:t>
            </w:r>
          </w:p>
        </w:tc>
        <w:tc>
          <w:tcPr>
            <w:tcW w:type="dxa" w:w="1080"/>
          </w:tcPr>
          <w:p>
            <w:r>
              <w:rPr>
                <w:rFonts w:ascii="Calibri" w:hAnsi="Calibri"/>
                <w:sz w:val="22"/>
              </w:rPr>
              <w:t>$5.54</w:t>
            </w:r>
          </w:p>
        </w:tc>
        <w:tc>
          <w:tcPr>
            <w:tcW w:type="dxa" w:w="1080"/>
          </w:tcPr>
          <w:p>
            <w:r>
              <w:rPr>
                <w:rFonts w:ascii="Calibri" w:hAnsi="Calibri"/>
                <w:b/>
                <w:color w:val="E5484D"/>
                <w:sz w:val="22"/>
              </w:rPr>
              <w:t>-2.5%</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Op. EPS — FY2026 ($)</w:t>
            </w:r>
          </w:p>
        </w:tc>
        <w:tc>
          <w:tcPr>
            <w:tcW w:type="dxa" w:w="1080"/>
          </w:tcPr>
          <w:p>
            <w:r>
              <w:rPr>
                <w:rFonts w:ascii="Calibri" w:hAnsi="Calibri"/>
                <w:sz w:val="22"/>
              </w:rPr>
              <w:t>$17.00</w:t>
            </w:r>
          </w:p>
        </w:tc>
        <w:tc>
          <w:tcPr>
            <w:tcW w:type="dxa" w:w="1080"/>
          </w:tcPr>
          <w:p>
            <w:r>
              <w:rPr>
                <w:rFonts w:ascii="Calibri" w:hAnsi="Calibri"/>
                <w:sz w:val="22"/>
              </w:rPr>
              <w:t>$16.47</w:t>
            </w:r>
          </w:p>
        </w:tc>
        <w:tc>
          <w:tcPr>
            <w:tcW w:type="dxa" w:w="1080"/>
          </w:tcPr>
          <w:p>
            <w:r>
              <w:rPr>
                <w:rFonts w:ascii="Calibri" w:hAnsi="Calibri"/>
                <w:b/>
                <w:color w:val="E5484D"/>
                <w:sz w:val="22"/>
              </w:rPr>
              <w:t>-3.1%</w:t>
            </w:r>
          </w:p>
        </w:tc>
        <w:tc>
          <w:tcPr>
            <w:tcW w:type="dxa" w:w="1080"/>
          </w:tcPr>
          <w:p>
            <w:r>
              <w:rPr>
                <w:rFonts w:ascii="Calibri" w:hAnsi="Calibri"/>
                <w:sz w:val="22"/>
              </w:rPr>
              <w:t>No specific FY guidance</w:t>
            </w:r>
          </w:p>
        </w:tc>
        <w:tc>
          <w:tcPr>
            <w:tcW w:type="dxa" w:w="1080"/>
          </w:tcPr>
          <w:p>
            <w:r>
              <w:rPr>
                <w:rFonts w:ascii="Calibri" w:hAnsi="Calibri"/>
                <w:sz w:val="22"/>
              </w:rPr>
              <w:t>No specific FY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Q2 2026 ($M)</w:t>
            </w:r>
          </w:p>
        </w:tc>
        <w:tc>
          <w:tcPr>
            <w:tcW w:type="dxa" w:w="1080"/>
          </w:tcPr>
          <w:p>
            <w:r>
              <w:rPr>
                <w:rFonts w:ascii="Calibri" w:hAnsi="Calibri"/>
                <w:sz w:val="22"/>
              </w:rPr>
              <w:t>$2,430</w:t>
            </w:r>
          </w:p>
        </w:tc>
        <w:tc>
          <w:tcPr>
            <w:tcW w:type="dxa" w:w="1080"/>
          </w:tcPr>
          <w:p>
            <w:r>
              <w:rPr>
                <w:rFonts w:ascii="Calibri" w:hAnsi="Calibri"/>
                <w:sz w:val="22"/>
              </w:rPr>
              <w:t>$2,429</w:t>
            </w:r>
          </w:p>
        </w:tc>
        <w:tc>
          <w:tcPr>
            <w:tcW w:type="dxa" w:w="1080"/>
          </w:tcPr>
          <w:p>
            <w:r>
              <w:rPr>
                <w:rFonts w:ascii="Calibri" w:hAnsi="Calibri"/>
                <w:sz w:val="22"/>
              </w:rPr>
              <w:t>~0%</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Ammonia ASP — Q2 2026 ($/ton)</w:t>
            </w:r>
          </w:p>
        </w:tc>
        <w:tc>
          <w:tcPr>
            <w:tcW w:type="dxa" w:w="1080"/>
          </w:tcPr>
          <w:p>
            <w:r>
              <w:rPr>
                <w:rFonts w:ascii="Calibri" w:hAnsi="Calibri"/>
                <w:sz w:val="22"/>
              </w:rPr>
              <w:t>$644</w:t>
            </w:r>
          </w:p>
        </w:tc>
        <w:tc>
          <w:tcPr>
            <w:tcW w:type="dxa" w:w="1080"/>
          </w:tcPr>
          <w:p>
            <w:r>
              <w:rPr>
                <w:rFonts w:ascii="Calibri" w:hAnsi="Calibri"/>
                <w:sz w:val="22"/>
              </w:rPr>
              <w:t>$663</w:t>
            </w:r>
          </w:p>
        </w:tc>
        <w:tc>
          <w:tcPr>
            <w:tcW w:type="dxa" w:w="1080"/>
          </w:tcPr>
          <w:p>
            <w:r>
              <w:rPr>
                <w:rFonts w:ascii="Calibri" w:hAnsi="Calibri"/>
                <w:b/>
                <w:color w:val="30A46C"/>
                <w:sz w:val="22"/>
              </w:rPr>
              <w:t>+3.0%</w:t>
            </w:r>
          </w:p>
        </w:tc>
        <w:tc>
          <w:tcPr>
            <w:tcW w:type="dxa" w:w="1080"/>
          </w:tcPr>
          <w:p>
            <w:r>
              <w:rPr>
                <w:rFonts w:ascii="Calibri" w:hAnsi="Calibri"/>
                <w:sz w:val="22"/>
              </w:rPr>
              <w:t>No specific Q2 guidance; NOLA ~$600/short ton at Q1 call; offshore ~$800/MT</w:t>
            </w:r>
          </w:p>
        </w:tc>
        <w:tc>
          <w:tcPr>
            <w:tcW w:type="dxa" w:w="1080"/>
          </w:tcPr>
          <w:p>
            <w:r>
              <w:rPr>
                <w:rFonts w:ascii="Calibri" w:hAnsi="Calibri"/>
                <w:sz w:val="22"/>
              </w:rPr>
              <w:t>BMO: NOLA still ~$600/short ton; offshore ~$800/MT; arbitrage expected to narrow</w:t>
            </w:r>
          </w:p>
        </w:tc>
        <w:tc>
          <w:tcPr>
            <w:tcW w:type="dxa" w:w="1080"/>
          </w:tcPr>
          <w:p>
            <w:r>
              <w:rPr>
                <w:rFonts w:ascii="Calibri" w:hAnsi="Calibri"/>
                <w:sz w:val="22"/>
              </w:rPr>
              <w:t>Unchanged</w:t>
            </w:r>
          </w:p>
        </w:tc>
        <w:tc>
          <w:tcPr>
            <w:tcW w:type="dxa" w:w="1080"/>
          </w:tcPr>
          <w:p>
            <w:r>
              <w:rPr>
                <w:rFonts w:ascii="Calibri" w:hAnsi="Calibri"/>
                <w:sz w:val="22"/>
              </w:rPr>
              <w:t>N/A (no numeric guidance)</w:t>
            </w:r>
          </w:p>
        </w:tc>
      </w:tr>
      <w:tr>
        <w:tc>
          <w:tcPr>
            <w:tcW w:type="dxa" w:w="1080"/>
          </w:tcPr>
          <w:p>
            <w:r>
              <w:rPr>
                <w:rFonts w:ascii="Calibri" w:hAnsi="Calibri"/>
                <w:sz w:val="22"/>
              </w:rPr>
              <w:t>Natural Gas Cost — Q2 2026 ($/MMBtu)</w:t>
            </w:r>
          </w:p>
        </w:tc>
        <w:tc>
          <w:tcPr>
            <w:tcW w:type="dxa" w:w="1080"/>
          </w:tcPr>
          <w:p>
            <w:r>
              <w:rPr>
                <w:rFonts w:ascii="Calibri" w:hAnsi="Calibri"/>
                <w:sz w:val="22"/>
              </w:rPr>
              <w:t>$2.96</w:t>
            </w:r>
          </w:p>
        </w:tc>
        <w:tc>
          <w:tcPr>
            <w:tcW w:type="dxa" w:w="1080"/>
          </w:tcPr>
          <w:p>
            <w:r>
              <w:rPr>
                <w:rFonts w:ascii="Calibri" w:hAnsi="Calibri"/>
                <w:sz w:val="22"/>
              </w:rPr>
              <w:t>$3.09</w:t>
            </w:r>
          </w:p>
        </w:tc>
        <w:tc>
          <w:tcPr>
            <w:tcW w:type="dxa" w:w="1080"/>
          </w:tcPr>
          <w:p>
            <w:r>
              <w:rPr>
                <w:rFonts w:ascii="Calibri" w:hAnsi="Calibri"/>
                <w:b/>
                <w:color w:val="E5484D"/>
                <w:sz w:val="22"/>
              </w:rPr>
              <w:t>+4.4%</w:t>
            </w:r>
          </w:p>
        </w:tc>
        <w:tc>
          <w:tcPr>
            <w:tcW w:type="dxa" w:w="1080"/>
          </w:tcPr>
          <w:p>
            <w:r>
              <w:rPr>
                <w:rFonts w:ascii="Calibri" w:hAnsi="Calibri"/>
                <w:sz w:val="22"/>
              </w:rPr>
              <w:t>Tracking NYMEX strip; ~$2.60/MMBtu at time of Q1 call</w:t>
            </w:r>
          </w:p>
        </w:tc>
        <w:tc>
          <w:tcPr>
            <w:tcW w:type="dxa" w:w="1080"/>
          </w:tcPr>
          <w:p>
            <w:r>
              <w:rPr>
                <w:rFonts w:ascii="Calibri" w:hAnsi="Calibri"/>
                <w:sz w:val="22"/>
              </w:rPr>
              <w:t>BMO: still paying ~$2.60/MMBtu</w:t>
            </w:r>
          </w:p>
        </w:tc>
        <w:tc>
          <w:tcPr>
            <w:tcW w:type="dxa" w:w="1080"/>
          </w:tcPr>
          <w:p>
            <w:r>
              <w:rPr>
                <w:rFonts w:ascii="Calibri" w:hAnsi="Calibri"/>
                <w:sz w:val="22"/>
              </w:rPr>
              <w:t>Unchanged</w:t>
            </w:r>
          </w:p>
        </w:tc>
        <w:tc>
          <w:tcPr>
            <w:tcW w:type="dxa" w:w="1080"/>
          </w:tcPr>
          <w:p>
            <w:r>
              <w:rPr>
                <w:rFonts w:ascii="Calibri" w:hAnsi="Calibri"/>
                <w:sz w:val="22"/>
              </w:rPr>
              <w:t>Consensus ~$3.09 vs. mgmt. ~$2.60 strip — potential cost tailwind</w:t>
            </w:r>
          </w:p>
        </w:tc>
      </w:tr>
    </w:tbl>
    <w:p>
      <w:r>
        <w:rPr>
          <w:rFonts w:ascii="Calibri" w:hAnsi="Calibri"/>
          <w:color w:val="525866"/>
          <w:sz w:val="22"/>
        </w:rPr>
        <w:t>Source: Visible Alpha Consensus and Actuals Data. Post-Q1 earnings baseline uses consensus as of May 13, 2026 (5 trading days after May 6 earnings). Current consensus as of August 4, 2026. Note: estimates have modestly pulled back from the initial Iran-shock spike, but remain well above pre-conflict levels. The natural gas cost consensus ($3.09/MMBtu) sits above management’s guided NYMEX strip (~$2.60), representing a potential cost tailwind if gas stays low.</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CF has underperformed both the S&amp;P 500 and XLB (Materials ETF) since the Q1 earnings print, declining ~1.2% vs. S&amp;P 500 +3.2% and XLB -2.7%, suggesting the market has not re-rated CF for the structural nitrogen supply shift — the underperformance is sentiment/multiple-driven, not revision-driven, creating a potentially asymmetric setup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CF vs. XLB (Materials ETF) vs. S&amp;P 500 (SPY) — Indexed to 100 at May 6, 2026 (Q1 2026 Earnings Date). Source: Stock Price Data.</w:t>
      </w:r>
    </w:p>
    <w:p>
      <w:r>
        <w:rPr>
          <w:rFonts w:ascii="Calibri" w:hAnsi="Calibri"/>
          <w:color w:val="525866"/>
          <w:sz w:val="22"/>
        </w:rPr>
        <w:t>CF opened Q2 at $119.76 on May 6 (earnings day) and closed at $118.30 on August 3, 2026, a decline of ~1.2% since the Q1 print. The stock initially sold off sharply on earnings day (from $128.04 pre-earnings to $119.76) despite a significant beat, confirming the geopolitical tailwind was largely priced in. CF then drifted lower through June (touching ~$102–$106 range) before recovering in July on the back of the 20% dividend increase (July 8) and continued bullish nitrogen market commentary. The XLB Materials ETF declined ~2.7% over the same period, while the S&amp;P 500 gained ~3.2%, highlighting CF’s underperformance relative to the broader market. The stock’s recovery from June lows to ~$118–$127 in late July suggests the market is beginning to price in the fill program and Q2 earnings catalyst, but the multiple remains compressed relative to CF’s free cash flow generation.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20% dividend increase on July 8 is the most important post-earnings development — it is a direct management signal of confidence in the FCF trajectory and partially explains the stock’s July recovery. The fill program launch (expected early August) is the next major catalyst.</w:t>
      </w:r>
    </w:p>
    <w:p>
      <w:pPr>
        <w:pStyle w:val="ListBullet"/>
        <w:ind w:left="360" w:hanging="360"/>
      </w:pPr>
      <w:r>
        <w:rPr>
          <w:rFonts w:ascii="Calibri" w:hAnsi="Calibri"/>
          <w:b/>
          <w:color w:val="525866"/>
          <w:sz w:val="22"/>
        </w:rPr>
        <w:t>July 8, 2026 — CF Raises Quarterly Dividend 20% to $0.60/share.</w:t>
      </w:r>
      <w:r>
        <w:rPr>
          <w:rFonts w:ascii="Calibri" w:hAnsi="Calibri"/>
          <w:color w:val="525866"/>
          <w:sz w:val="22"/>
        </w:rPr>
        <w:t xml:space="preserve"> Board declared $0.60/share quarterly dividend (payable Aug 31, 2026), up from $0.50. Implication: Direct signal of management confidence in sustained FCF generation; partially re-rates the stock on yield; consistent with the “we are the free cash company” messaging from the BMO conference.</w:t>
      </w:r>
    </w:p>
    <w:p>
      <w:pPr>
        <w:pStyle w:val="ListBullet"/>
        <w:ind w:left="360" w:hanging="360"/>
      </w:pPr>
      <w:r>
        <w:rPr>
          <w:rFonts w:ascii="Calibri" w:hAnsi="Calibri"/>
          <w:b/>
          <w:color w:val="525866"/>
          <w:sz w:val="22"/>
        </w:rPr>
        <w:t>May 13, 2026 — BMO Capital Markets Global Farm to Market Conference.</w:t>
      </w:r>
      <w:r>
        <w:rPr>
          <w:rFonts w:ascii="Calibri" w:hAnsi="Calibri"/>
          <w:color w:val="525866"/>
          <w:sz w:val="22"/>
        </w:rPr>
        <w:t xml:space="preserve"> Bert Frost and Martin Jarosick provided the most detailed post-Q1 market update. Key points: (1) H1 2026 described as “very good”; (2) India urea import range raised to 10–13M tons (vs. 10–12M at Q1 earnings); (3) fill program expected “sometime in early August” with near-empty retail channel; (4) NOLA urea at ~$600/short ton vs. offshore ~$800/MT — arbitrage expected to narrow; (5) Blue Point module inflation risk dismissed. Implication: Bullish read-through for Q2 pricing and Q3 fill program.</w:t>
      </w:r>
    </w:p>
    <w:p>
      <w:pPr>
        <w:pStyle w:val="ListBullet"/>
        <w:ind w:left="360" w:hanging="360"/>
      </w:pPr>
      <w:r>
        <w:rPr>
          <w:rFonts w:ascii="Calibri" w:hAnsi="Calibri"/>
          <w:b/>
          <w:color w:val="525866"/>
          <w:sz w:val="22"/>
        </w:rPr>
        <w:t>May 6, 2026 — Q1 2026 Earnings: Significant Beat, Stock Sold Off.</w:t>
      </w:r>
      <w:r>
        <w:rPr>
          <w:rFonts w:ascii="Calibri" w:hAnsi="Calibri"/>
          <w:color w:val="525866"/>
          <w:sz w:val="22"/>
        </w:rPr>
        <w:t xml:space="preserve"> Adj. EBITDA of $983M beat consensus of ~$784M by 25%; diluted op. EPS of $3.98 beat $2.75 consensus by 45%. Stock declined from $128.04 (pre-earnings) to $119.76 on the day. Implication: Beat was partially driven by a one-time Orica/Nelson Brothers litigation settlement; underlying operational performance was still robust; sell-off suggests geopolitical premium was priced in, creating a lower base for Q2.</w:t>
      </w:r>
    </w:p>
    <w:p>
      <w:pPr>
        <w:pStyle w:val="ListBullet"/>
        <w:ind w:left="360" w:hanging="360"/>
      </w:pPr>
      <w:r>
        <w:rPr>
          <w:rFonts w:ascii="Calibri" w:hAnsi="Calibri"/>
          <w:b/>
          <w:color w:val="525866"/>
          <w:sz w:val="22"/>
        </w:rPr>
        <w:t>Late Q1 2026 (February–March) — Iran Conflict &amp; Strait of Hormuz Closure.</w:t>
      </w:r>
      <w:r>
        <w:rPr>
          <w:rFonts w:ascii="Calibri" w:hAnsi="Calibri"/>
          <w:color w:val="525866"/>
          <w:sz w:val="22"/>
        </w:rPr>
        <w:t xml:space="preserve"> The conflict severely tightened global nitrogen markets; 31 ammonia plants in the Middle East directly impacted or shut down; 49 plants in India, Pakistan, and Bangladesh curtailed due to LNG shortages; Russia and Egypt implemented export restrictions. Implication: Structural supply shock that management expects to persist through 2026 and into 2027; directly drives the elevated Q2 2026 pricing consensus.</w:t>
      </w:r>
    </w:p>
    <w:p>
      <w:pPr>
        <w:pStyle w:val="ListBullet"/>
        <w:ind w:left="360" w:hanging="360"/>
      </w:pPr>
      <w:r>
        <w:rPr>
          <w:rFonts w:ascii="Calibri" w:hAnsi="Calibri"/>
          <w:b/>
          <w:color w:val="525866"/>
          <w:sz w:val="22"/>
        </w:rPr>
        <w:t>April 2026 — First Commercial Low-Carbon UAN Launch with PepsiCo/Frito-Lay.</w:t>
      </w:r>
      <w:r>
        <w:rPr>
          <w:rFonts w:ascii="Calibri" w:hAnsi="Calibri"/>
          <w:color w:val="525866"/>
          <w:sz w:val="22"/>
        </w:rPr>
        <w:t xml:space="preserve"> CF launched its first certified low-carbon UAN product commercially for the Frito-Lay potato supply chain. Implication: Validates the decarbonization strategy beyond ammonia; expands the premium-priced product portfolio; Donaldsonville CCS generating ~$100M annually in 45Q credits.</w:t>
      </w:r>
    </w:p>
    <w:p>
      <w:pPr>
        <w:pStyle w:val="ListBullet"/>
        <w:ind w:left="360" w:hanging="360"/>
      </w:pPr>
      <w:r>
        <w:rPr>
          <w:rFonts w:ascii="Calibri" w:hAnsi="Calibri"/>
          <w:b/>
          <w:color w:val="525866"/>
          <w:sz w:val="22"/>
        </w:rPr>
        <w:t>Q1 2026 — Donaldsonville Turnaround Delayed to Maximize Urea Production.</w:t>
      </w:r>
      <w:r>
        <w:rPr>
          <w:rFonts w:ascii="Calibri" w:hAnsi="Calibri"/>
          <w:color w:val="525866"/>
          <w:sz w:val="22"/>
        </w:rPr>
        <w:t xml:space="preserve"> Turnaround shifted from late May to late June, producing ~100,000 additional tons of urea for the spring season. Implication: Positive for Q2 volumes; turnaround completion in late June means Q2 production was partially impacted but Q3 should see full capacity.</w:t>
      </w:r>
    </w:p>
    <w:p>
      <w:pPr>
        <w:pStyle w:val="ListBullet"/>
        <w:ind w:left="360" w:hanging="360"/>
      </w:pPr>
      <w:r>
        <w:rPr>
          <w:rFonts w:ascii="Calibri" w:hAnsi="Calibri"/>
          <w:b/>
          <w:color w:val="525866"/>
          <w:sz w:val="22"/>
        </w:rPr>
        <w:t>Ongoing — Blue Point Project Infrastructure Underway.</w:t>
      </w:r>
      <w:r>
        <w:rPr>
          <w:rFonts w:ascii="Calibri" w:hAnsi="Calibri"/>
          <w:color w:val="525866"/>
          <w:sz w:val="22"/>
        </w:rPr>
        <w:t xml:space="preserve"> Groundwork, pilings, and bridge infrastructure active; module sourcing locked in (no inflation risk per management); construction to commence once permits received. Implication: Execution risk is low per management; adds &gt;1.5M tons gross ammonia capacity in late 2029, materially expanding CF’s earnings power.</w:t>
      </w:r>
    </w:p>
    <w:p>
      <w:pPr>
        <w:pStyle w:val="ListBullet"/>
        <w:ind w:left="360" w:hanging="360"/>
      </w:pPr>
      <w:r>
        <w:rPr>
          <w:rFonts w:ascii="Calibri" w:hAnsi="Calibri"/>
          <w:b/>
          <w:color w:val="525866"/>
          <w:sz w:val="22"/>
        </w:rPr>
        <w:t>Ongoing — Share Repurchase: $1.7B Remaining Authorization.</w:t>
      </w:r>
      <w:r>
        <w:rPr>
          <w:rFonts w:ascii="Calibri" w:hAnsi="Calibri"/>
          <w:color w:val="525866"/>
          <w:sz w:val="22"/>
        </w:rPr>
        <w:t xml:space="preserve"> Q1 buyback was light ($15M) due to Iran conflict uncertainty; management reaffirmed intention to execute the full authorization before expiration. Implication: Q2 buyback pace likely to accelerate, providing EPS support; management views shares as trading below intrinsic value.</w:t>
      </w:r>
    </w:p>
    <w:p>
      <w:r>
        <w:br w:type="page"/>
      </w:r>
    </w:p>
    <w:p>
      <w:pPr>
        <w:pStyle w:val="Heading2"/>
      </w:pPr>
      <w:r>
        <w:rPr>
          <w:rFonts w:ascii="Calibri" w:hAnsi="Calibri"/>
          <w:b/>
          <w:color w:val="3B4259"/>
          <w:sz w:val="28"/>
        </w:rPr>
        <w:t>7. Peer Commentaries — Read-Through for CF Q2 2026</w:t>
      </w:r>
    </w:p>
    <w:p>
      <w:r>
        <w:rPr>
          <w:rFonts w:ascii="Calibri" w:hAnsi="Calibri"/>
          <w:b/>
          <w:color w:val="525866"/>
          <w:sz w:val="22"/>
        </w:rPr>
        <w:t xml:space="preserve">Key Takeaway: </w:t>
      </w:r>
      <w:r>
        <w:rPr>
          <w:rFonts w:ascii="Calibri" w:hAnsi="Calibri"/>
          <w:color w:val="525866"/>
          <w:sz w:val="22"/>
        </w:rPr>
        <w:t xml:space="preserve">All three peers — Nutrien (NTR), Mosaic (MOS), and ICL — confirm the same forward-looking thesis: the Iran/Strait of Hormuz supply shock is real, persistent, and driving elevated global nitrogen benchmarks into Q2 2026 and beyond. </w:t>
      </w:r>
      <w:r>
        <w:rPr>
          <w:rFonts w:ascii="Calibri" w:hAnsi="Calibri"/>
          <w:b/>
          <w:color w:val="525866"/>
          <w:sz w:val="22"/>
        </w:rPr>
        <w:t>NTR’s commentary is the most directly bullish read-through for CF</w:t>
      </w:r>
      <w:r>
        <w:rPr>
          <w:rFonts w:ascii="Calibri" w:hAnsi="Calibri"/>
          <w:color w:val="525866"/>
          <w:sz w:val="22"/>
        </w:rPr>
        <w:t>, with higher global benchmarks explicitly expected to “flow through in Q2,” retail channels expected to be “very empty,” and corn/soybean futures hitting 52-week highs. MOS’s Q2 2026 results (reported today, August 4) show realized ammonia costs of $621/ton in Phosphate and $815/ton in Fertilizantes — confirming the elevated ammonia price environment that underpins CF’s Q2 ASP consensus.</w:t>
      </w:r>
    </w:p>
    <w:p>
      <w:pPr>
        <w:pStyle w:val="Heading3"/>
      </w:pPr>
      <w:r>
        <w:rPr>
          <w:rFonts w:ascii="Calibri" w:hAnsi="Calibri"/>
          <w:b/>
          <w:color w:val="3B4259"/>
          <w:sz w:val="24"/>
        </w:rPr>
        <w:t>Nutrien (NTR) — Q1 2026 Earnings Call (May 7, 2026) &amp; BMO Conference (May 13, 2026)</w:t>
      </w:r>
    </w:p>
    <w:p>
      <w:r>
        <w:rPr>
          <w:rFonts w:ascii="Calibri" w:hAnsi="Calibri"/>
          <w:color w:val="525866"/>
          <w:sz w:val="22"/>
        </w:rPr>
        <w:t>Forward-looking read-throughs for CF Q2 2026:</w:t>
      </w:r>
    </w:p>
    <w:p>
      <w:pPr>
        <w:pStyle w:val="ListBullet"/>
        <w:ind w:left="360" w:hanging="360"/>
      </w:pPr>
      <w:r>
        <w:rPr>
          <w:rFonts w:ascii="Calibri" w:hAnsi="Calibri"/>
          <w:b/>
          <w:color w:val="525866"/>
          <w:sz w:val="22"/>
        </w:rPr>
        <w:t>Higher global nitrogen benchmarks explicitly expected to flow through in Q2:</w:t>
      </w:r>
      <w:r>
        <w:rPr>
          <w:rFonts w:ascii="Calibri" w:hAnsi="Calibri"/>
          <w:color w:val="525866"/>
          <w:sz w:val="22"/>
        </w:rPr>
        <w:t xml:space="preserve"> NTR CFO Mark Thompson stated the Iran conflict “substantially disrupted nitrogen markets” and led to “pretty dramatic increases across all global nitrogen benchmarks.” Critically, he noted this “was really not a first quarter event” — the pricing impact will “start to flow through in the second quarter.” This is a direct and unambiguous read-through for CF’s Q2 realized pricing.</w:t>
      </w:r>
    </w:p>
    <w:p>
      <w:pPr>
        <w:pStyle w:val="ListBullet"/>
        <w:ind w:left="360" w:hanging="360"/>
      </w:pPr>
      <w:r>
        <w:rPr>
          <w:rFonts w:ascii="Calibri" w:hAnsi="Calibri"/>
          <w:b/>
          <w:color w:val="525866"/>
          <w:sz w:val="22"/>
        </w:rPr>
        <w:t>Supply normalization path is long and uncertain:</w:t>
      </w:r>
      <w:r>
        <w:rPr>
          <w:rFonts w:ascii="Calibri" w:hAnsi="Calibri"/>
          <w:color w:val="525866"/>
          <w:sz w:val="22"/>
        </w:rPr>
        <w:t xml:space="preserve"> NTR outlined three conditions required for supply normalization: (1) full reopening of the Strait of Hormuz; (2) restart of idled production assets (expected to be “bumpy”); (3) repair of physical infrastructure damage, which “could take several months and, in some cases, years.” Damage to the South Pars gas field and 20% of Qatar LNG capacity “won’t be back online for 3 to 5 years.” This supports CF management’s “longer tail” thesis for elevated pricing.</w:t>
      </w:r>
    </w:p>
    <w:p>
      <w:pPr>
        <w:pStyle w:val="ListBullet"/>
        <w:ind w:left="360" w:hanging="360"/>
      </w:pPr>
      <w:r>
        <w:rPr>
          <w:rFonts w:ascii="Calibri" w:hAnsi="Calibri"/>
          <w:b/>
          <w:color w:val="525866"/>
          <w:sz w:val="22"/>
        </w:rPr>
        <w:t>Retail channels expected to be “very empty” at spring end:</w:t>
      </w:r>
      <w:r>
        <w:rPr>
          <w:rFonts w:ascii="Calibri" w:hAnsi="Calibri"/>
          <w:color w:val="525866"/>
          <w:sz w:val="22"/>
        </w:rPr>
        <w:t xml:space="preserve"> NTR stated its objective is to “end the spring empty” and expects both its own distribution and wholesale customers to be “very empty” as spring concludes. This directly corroborates CF’s fill program setup — near-empty retail inventories are the precondition for a strong fill season.</w:t>
      </w:r>
    </w:p>
    <w:p>
      <w:pPr>
        <w:pStyle w:val="ListBullet"/>
        <w:ind w:left="360" w:hanging="360"/>
      </w:pPr>
      <w:r>
        <w:rPr>
          <w:rFonts w:ascii="Calibri" w:hAnsi="Calibri"/>
          <w:b/>
          <w:color w:val="525866"/>
          <w:sz w:val="22"/>
        </w:rPr>
        <w:t>Corn and soybean futures hitting 52-week highs:</w:t>
      </w:r>
      <w:r>
        <w:rPr>
          <w:rFonts w:ascii="Calibri" w:hAnsi="Calibri"/>
          <w:color w:val="525866"/>
          <w:sz w:val="22"/>
        </w:rPr>
        <w:t xml:space="preserve"> NTR highlighted corn (December futures up to $5) and soybean prices hitting 52-week highs as “encouraging” and a “tailwind.” Higher crop prices support farmer economics and willingness to purchase nitrogen inputs, reducing demand destruction risk from elevated fertilizer prices.</w:t>
      </w:r>
    </w:p>
    <w:p>
      <w:pPr>
        <w:pStyle w:val="ListBullet"/>
        <w:ind w:left="360" w:hanging="360"/>
      </w:pPr>
      <w:r>
        <w:rPr>
          <w:rFonts w:ascii="Calibri" w:hAnsi="Calibri"/>
          <w:b/>
          <w:color w:val="525866"/>
          <w:sz w:val="22"/>
        </w:rPr>
        <w:t>China restricting urea exports to 3–4M tons vs. 5M tons last year:</w:t>
      </w:r>
      <w:r>
        <w:rPr>
          <w:rFonts w:ascii="Calibri" w:hAnsi="Calibri"/>
          <w:color w:val="525866"/>
          <w:sz w:val="22"/>
        </w:rPr>
        <w:t xml:space="preserve"> NTR flagged China looking to restrict urea exports, potentially reducing them to 3–4M tonnes vs. 5M tonnes in 2025. This removes a key potential supply offset and keeps global markets tighter than they would otherwise be.</w:t>
      </w:r>
    </w:p>
    <w:p>
      <w:pPr>
        <w:pStyle w:val="ListBullet"/>
        <w:ind w:left="360" w:hanging="360"/>
      </w:pPr>
      <w:r>
        <w:rPr>
          <w:rFonts w:ascii="Calibri" w:hAnsi="Calibri"/>
          <w:b/>
          <w:color w:val="525866"/>
          <w:sz w:val="22"/>
        </w:rPr>
        <w:t>Nitrogen application rates “about as expected” — no demand destruction in nitrogen:</w:t>
      </w:r>
      <w:r>
        <w:rPr>
          <w:rFonts w:ascii="Calibri" w:hAnsi="Calibri"/>
          <w:color w:val="525866"/>
          <w:sz w:val="22"/>
        </w:rPr>
        <w:t xml:space="preserve"> NTR observed some phosphate thrifting but explicitly stated “we are not seeing that across nitrogen and potash.” Growers are “going to do what they need to do to maximize yields.” This is a positive read-through for CF’s volume outlook.</w:t>
      </w:r>
    </w:p>
    <w:p>
      <w:pPr>
        <w:pStyle w:val="ListBullet"/>
        <w:ind w:left="360" w:hanging="360"/>
      </w:pPr>
      <w:r>
        <w:rPr>
          <w:rFonts w:ascii="Calibri" w:hAnsi="Calibri"/>
          <w:b/>
          <w:color w:val="525866"/>
          <w:sz w:val="22"/>
        </w:rPr>
        <w:t>NTR’s nitrogen segment EBITDA of $482M in Q1 driven by higher global benchmarks:</w:t>
      </w:r>
      <w:r>
        <w:rPr>
          <w:rFonts w:ascii="Calibri" w:hAnsi="Calibri"/>
          <w:color w:val="525866"/>
          <w:sz w:val="22"/>
        </w:rPr>
        <w:t xml:space="preserve"> NTR’s North American nitrogen plants benefit from Henry Hub and AECO pricing (similar to CF’s cost structure), and attained 92% ammonia operating rate in Q1. NTR maintained FY2026 nitrogen sales volume guidance of 9.2–9.7M tonnes.</w:t>
      </w:r>
    </w:p>
    <w:p>
      <w:pPr>
        <w:pStyle w:val="Heading3"/>
      </w:pPr>
      <w:r>
        <w:rPr>
          <w:rFonts w:ascii="Calibri" w:hAnsi="Calibri"/>
          <w:b/>
          <w:color w:val="3B4259"/>
          <w:sz w:val="24"/>
        </w:rPr>
        <w:t>Mosaic (MOS) — Q1 2026 Earnings Call (May 11, 2026) &amp; Q2 2026 Earnings Release (August 4, 2026)</w:t>
      </w:r>
    </w:p>
    <w:p>
      <w:r>
        <w:rPr>
          <w:rFonts w:ascii="Calibri" w:hAnsi="Calibri"/>
          <w:color w:val="525866"/>
          <w:sz w:val="22"/>
        </w:rPr>
        <w:t>Forward-looking read-throughs for CF Q2 2026:</w:t>
      </w:r>
    </w:p>
    <w:p>
      <w:pPr>
        <w:pStyle w:val="ListBullet"/>
        <w:ind w:left="360" w:hanging="360"/>
      </w:pPr>
      <w:r>
        <w:rPr>
          <w:rFonts w:ascii="Calibri" w:hAnsi="Calibri"/>
          <w:b/>
          <w:color w:val="525866"/>
          <w:sz w:val="22"/>
        </w:rPr>
        <w:t>MOS Q2 2026 realized ammonia cost of $621/ton (Phosphate) and $815/ton (Fertilizantes) confirms elevated ammonia price environment:</w:t>
      </w:r>
      <w:r>
        <w:rPr>
          <w:rFonts w:ascii="Calibri" w:hAnsi="Calibri"/>
          <w:color w:val="525866"/>
          <w:sz w:val="22"/>
        </w:rPr>
        <w:t xml:space="preserve"> MOS reported today (August 4, 2026) that its Phosphate segment realized ammonia at $621/ton in Q2 2026 (up from $550 in Q4 2025 and $482 in Q3 2024), and its Fertilizantes segment at $815/ton. These are the prices MOS paid as a buyer of ammonia — CF is a seller. This directly validates the elevated ammonia ASP environment embedded in CF’s Q2 2026 consensus of ~$663/ton.</w:t>
      </w:r>
    </w:p>
    <w:p>
      <w:pPr>
        <w:pStyle w:val="ListBullet"/>
        <w:ind w:left="360" w:hanging="360"/>
      </w:pPr>
      <w:r>
        <w:rPr>
          <w:rFonts w:ascii="Calibri" w:hAnsi="Calibri"/>
          <w:b/>
          <w:color w:val="525866"/>
          <w:sz w:val="22"/>
        </w:rPr>
        <w:t>Geopolitical disruption described as affecting ~30% of global urea trade and ~25% of ammonia trade:</w:t>
      </w:r>
      <w:r>
        <w:rPr>
          <w:rFonts w:ascii="Calibri" w:hAnsi="Calibri"/>
          <w:color w:val="525866"/>
          <w:sz w:val="22"/>
        </w:rPr>
        <w:t xml:space="preserve"> MOS Q1 call noted the conflict “directly impacted over 30% of global urea trade and approximately 25% of ammonia and phosphate trade that relies on the Strait of Hormuz.” This scale of disruption is consistent with CF’s “5 million tons short at a minimum” framing.</w:t>
      </w:r>
    </w:p>
    <w:p>
      <w:pPr>
        <w:pStyle w:val="ListBullet"/>
        <w:ind w:left="360" w:hanging="360"/>
      </w:pPr>
      <w:r>
        <w:rPr>
          <w:rFonts w:ascii="Calibri" w:hAnsi="Calibri"/>
          <w:b/>
          <w:color w:val="525866"/>
          <w:sz w:val="22"/>
        </w:rPr>
        <w:t>Brazil channel inventories “extremely low” — demand destruction risk in LatAm:</w:t>
      </w:r>
      <w:r>
        <w:rPr>
          <w:rFonts w:ascii="Calibri" w:hAnsi="Calibri"/>
          <w:color w:val="525866"/>
          <w:sz w:val="22"/>
        </w:rPr>
        <w:t xml:space="preserve"> MOS flagged that Brazil imports 85% of its NPK needs and that April saw a reduction in nitrogen and phosphate imports, projecting a “contraction in fertilizer use in Brazil for 2026 due to nutrient unavailability.” This is a modest negative read-through for global nitrogen demand, but CF’s North American focus insulates it from this dynamic.</w:t>
      </w:r>
    </w:p>
    <w:p>
      <w:pPr>
        <w:pStyle w:val="ListBullet"/>
        <w:ind w:left="360" w:hanging="360"/>
      </w:pPr>
      <w:r>
        <w:rPr>
          <w:rFonts w:ascii="Calibri" w:hAnsi="Calibri"/>
          <w:b/>
          <w:color w:val="525866"/>
          <w:sz w:val="22"/>
        </w:rPr>
        <w:t>Ammonia prices expected to rise further in Q2 2026:</w:t>
      </w:r>
      <w:r>
        <w:rPr>
          <w:rFonts w:ascii="Calibri" w:hAnsi="Calibri"/>
          <w:color w:val="525866"/>
          <w:sz w:val="22"/>
        </w:rPr>
        <w:t xml:space="preserve"> MOS Q1 call anticipated realized ammonia costs in its Phosphate segment of ~$610/ton for Q2 (actual came in at $621/ton, slightly above guidance), with the marginal cost of ammonia estimated at ~$800/ton. This confirms the pricing environment CF is selling into.</w:t>
      </w:r>
    </w:p>
    <w:p>
      <w:pPr>
        <w:pStyle w:val="ListBullet"/>
        <w:ind w:left="360" w:hanging="360"/>
      </w:pPr>
      <w:r>
        <w:rPr>
          <w:rFonts w:ascii="Calibri" w:hAnsi="Calibri"/>
          <w:b/>
          <w:color w:val="525866"/>
          <w:sz w:val="22"/>
        </w:rPr>
        <w:t>Geopolitical issues considered “temporary” by MOS — a contrasting view to CF:</w:t>
      </w:r>
      <w:r>
        <w:rPr>
          <w:rFonts w:ascii="Calibri" w:hAnsi="Calibri"/>
          <w:color w:val="525866"/>
          <w:sz w:val="22"/>
        </w:rPr>
        <w:t xml:space="preserve"> MOS characterized the geopolitical disruptions as temporary, expecting fluidity to eventually return to normal. This is a more cautious read-through than CF’s “longer tail” thesis, and suggests the market may be pricing in some mean-reversion that CF management explicitly disputes.</w:t>
      </w:r>
    </w:p>
    <w:p>
      <w:pPr>
        <w:pStyle w:val="Heading3"/>
      </w:pPr>
      <w:r>
        <w:rPr>
          <w:rFonts w:ascii="Calibri" w:hAnsi="Calibri"/>
          <w:b/>
          <w:color w:val="3B4259"/>
          <w:sz w:val="24"/>
        </w:rPr>
        <w:t>ICL Group — Q1 2026 Earnings Call (May 13, 2026)</w:t>
      </w:r>
    </w:p>
    <w:p>
      <w:r>
        <w:rPr>
          <w:rFonts w:ascii="Calibri" w:hAnsi="Calibri"/>
          <w:color w:val="525866"/>
          <w:sz w:val="22"/>
        </w:rPr>
        <w:t>Forward-looking read-throughs for CF Q2 2026:</w:t>
      </w:r>
    </w:p>
    <w:p>
      <w:pPr>
        <w:pStyle w:val="ListBullet"/>
        <w:ind w:left="360" w:hanging="360"/>
      </w:pPr>
      <w:r>
        <w:rPr>
          <w:rFonts w:ascii="Calibri" w:hAnsi="Calibri"/>
          <w:b/>
          <w:color w:val="525866"/>
          <w:sz w:val="22"/>
        </w:rPr>
        <w:t>Farmer sentiment declining due to high input costs — demand destruction risk:</w:t>
      </w:r>
      <w:r>
        <w:rPr>
          <w:rFonts w:ascii="Calibri" w:hAnsi="Calibri"/>
          <w:color w:val="525866"/>
          <w:sz w:val="22"/>
        </w:rPr>
        <w:t xml:space="preserve"> ICL reported that U.S. farmer sentiment declined in Q1 2026 and dropped again in April, with 46% of farmers citing high input costs as their biggest concern and 14% citing input availability (up from 11%). Global fertilizer affordability fell to its lowest in nearly 5 years. This is a cautionary read-through for demand, though CF’s management and NTR both note nitrogen application rates have held up better than phosphate.</w:t>
      </w:r>
    </w:p>
    <w:p>
      <w:pPr>
        <w:pStyle w:val="ListBullet"/>
        <w:ind w:left="360" w:hanging="360"/>
      </w:pPr>
      <w:r>
        <w:rPr>
          <w:rFonts w:ascii="Calibri" w:hAnsi="Calibri"/>
          <w:b/>
          <w:color w:val="525866"/>
          <w:sz w:val="22"/>
        </w:rPr>
        <w:t>Urea prices increased in Q1 2026; ammonia prices “very high”:</w:t>
      </w:r>
      <w:r>
        <w:rPr>
          <w:rFonts w:ascii="Calibri" w:hAnsi="Calibri"/>
          <w:color w:val="525866"/>
          <w:sz w:val="22"/>
        </w:rPr>
        <w:t xml:space="preserve"> ICL confirmed urea prices increased in Q1 2026 and noted ammonia prices are “very high nowadays,” impacting DAP/MAP production economics. This is consistent with the elevated pricing environment CF is operating in.</w:t>
      </w:r>
    </w:p>
    <w:p>
      <w:pPr>
        <w:pStyle w:val="ListBullet"/>
        <w:ind w:left="360" w:hanging="360"/>
      </w:pPr>
      <w:r>
        <w:rPr>
          <w:rFonts w:ascii="Calibri" w:hAnsi="Calibri"/>
          <w:b/>
          <w:color w:val="525866"/>
          <w:sz w:val="22"/>
        </w:rPr>
        <w:t>Grain prices improving but not enough to offset fertilizer price increases:</w:t>
      </w:r>
      <w:r>
        <w:rPr>
          <w:rFonts w:ascii="Calibri" w:hAnsi="Calibri"/>
          <w:color w:val="525866"/>
          <w:sz w:val="22"/>
        </w:rPr>
        <w:t xml:space="preserve"> ICL noted the grain price index improved QoQ in Q1 (corn, rice, soybeans, wheat all trending up), but “have not strengthened enough to balance out the increases in fertilizer prices.” This creates a farmer affordability squeeze that could weigh on demand in price-sensitive markets, though North American farmers (CF’s primary market) are better positioned given higher crop prices.</w:t>
      </w:r>
    </w:p>
    <w:p>
      <w:pPr>
        <w:pStyle w:val="ListBullet"/>
        <w:ind w:left="360" w:hanging="360"/>
      </w:pPr>
      <w:r>
        <w:rPr>
          <w:rFonts w:ascii="Calibri" w:hAnsi="Calibri"/>
          <w:b/>
          <w:color w:val="525866"/>
          <w:sz w:val="22"/>
        </w:rPr>
        <w:t>Middle East conflict expected to keep concerns elevated “until peacefully resolved”:</w:t>
      </w:r>
      <w:r>
        <w:rPr>
          <w:rFonts w:ascii="Calibri" w:hAnsi="Calibri"/>
          <w:color w:val="525866"/>
          <w:sz w:val="22"/>
        </w:rPr>
        <w:t xml:space="preserve"> ICL stated that concerns over higher raw material prices, energy availability, and fertilizer supply “are expected to continue until the situation in the Middle East is peacefully resolved.” This supports the elevated pricing environment for CF’s Q2 results.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NTR (Q1 Earnings + BMO)</w:t>
            </w:r>
          </w:p>
        </w:tc>
        <w:tc>
          <w:tcPr>
            <w:tcW w:type="dxa" w:w="1728"/>
            <w:shd w:val="clear" w:color="auto" w:fill="3B4259"/>
          </w:tcPr>
          <w:p>
            <w:r>
              <w:rPr>
                <w:rFonts w:ascii="Calibri" w:hAnsi="Calibri"/>
                <w:b/>
                <w:color w:val="FFFFFF"/>
                <w:sz w:val="22"/>
              </w:rPr>
              <w:t>MOS (Q1 Earnings + Q2 Release)</w:t>
            </w:r>
          </w:p>
        </w:tc>
        <w:tc>
          <w:tcPr>
            <w:tcW w:type="dxa" w:w="1728"/>
            <w:shd w:val="clear" w:color="auto" w:fill="3B4259"/>
          </w:tcPr>
          <w:p>
            <w:r>
              <w:rPr>
                <w:rFonts w:ascii="Calibri" w:hAnsi="Calibri"/>
                <w:b/>
                <w:color w:val="FFFFFF"/>
                <w:sz w:val="22"/>
              </w:rPr>
              <w:t>ICL (Q1 Earnings)</w:t>
            </w:r>
          </w:p>
        </w:tc>
        <w:tc>
          <w:tcPr>
            <w:tcW w:type="dxa" w:w="1728"/>
            <w:shd w:val="clear" w:color="auto" w:fill="3B4259"/>
          </w:tcPr>
          <w:p>
            <w:r>
              <w:rPr>
                <w:rFonts w:ascii="Calibri" w:hAnsi="Calibri"/>
                <w:b/>
                <w:color w:val="FFFFFF"/>
                <w:sz w:val="22"/>
              </w:rPr>
              <w:t>CF Read-Through</w:t>
            </w:r>
          </w:p>
        </w:tc>
      </w:tr>
      <w:tr>
        <w:tc>
          <w:tcPr>
            <w:tcW w:type="dxa" w:w="1728"/>
          </w:tcPr>
          <w:p>
            <w:r>
              <w:rPr>
                <w:rFonts w:ascii="Calibri" w:hAnsi="Calibri"/>
                <w:sz w:val="22"/>
              </w:rPr>
              <w:t>Q2 Nitrogen Pricing</w:t>
            </w:r>
          </w:p>
        </w:tc>
        <w:tc>
          <w:tcPr>
            <w:tcW w:type="dxa" w:w="1728"/>
          </w:tcPr>
          <w:p>
            <w:r>
              <w:rPr>
                <w:rFonts w:ascii="Calibri" w:hAnsi="Calibri"/>
                <w:b/>
                <w:sz w:val="22"/>
              </w:rPr>
              <w:t>Higher global benchmarks to “flow through in Q2”; not a Q1 event</w:t>
            </w:r>
          </w:p>
        </w:tc>
        <w:tc>
          <w:tcPr>
            <w:tcW w:type="dxa" w:w="1728"/>
          </w:tcPr>
          <w:p>
            <w:r>
              <w:rPr>
                <w:rFonts w:ascii="Calibri" w:hAnsi="Calibri"/>
                <w:sz w:val="22"/>
              </w:rPr>
              <w:t>Ammonia realized at $621/ton (Phosphate) and $815/ton (Fertilizantes) in Q2 2026</w:t>
            </w:r>
          </w:p>
        </w:tc>
        <w:tc>
          <w:tcPr>
            <w:tcW w:type="dxa" w:w="1728"/>
          </w:tcPr>
          <w:p>
            <w:r>
              <w:rPr>
                <w:rFonts w:ascii="Calibri" w:hAnsi="Calibri"/>
                <w:sz w:val="22"/>
              </w:rPr>
              <w:t>Urea up in Q1; ammonia “very high”</w:t>
            </w:r>
          </w:p>
        </w:tc>
        <w:tc>
          <w:tcPr>
            <w:tcW w:type="dxa" w:w="1728"/>
          </w:tcPr>
          <w:p>
            <w:r>
              <w:rPr>
                <w:rFonts w:ascii="Calibri" w:hAnsi="Calibri"/>
                <w:b/>
                <w:color w:val="30A46C"/>
                <w:sz w:val="22"/>
              </w:rPr>
              <w:t>Positive — confirms elevated ASP environment for CF Q2</w:t>
            </w:r>
          </w:p>
        </w:tc>
      </w:tr>
      <w:tr>
        <w:tc>
          <w:tcPr>
            <w:tcW w:type="dxa" w:w="1728"/>
          </w:tcPr>
          <w:p>
            <w:r>
              <w:rPr>
                <w:rFonts w:ascii="Calibri" w:hAnsi="Calibri"/>
                <w:sz w:val="22"/>
              </w:rPr>
              <w:t>Supply Normalization Timeline</w:t>
            </w:r>
          </w:p>
        </w:tc>
        <w:tc>
          <w:tcPr>
            <w:tcW w:type="dxa" w:w="1728"/>
          </w:tcPr>
          <w:p>
            <w:r>
              <w:rPr>
                <w:rFonts w:ascii="Calibri" w:hAnsi="Calibri"/>
                <w:sz w:val="22"/>
              </w:rPr>
              <w:t>3–5 years for Qatar LNG; restart “bumpy”; months to years for infrastructure repair</w:t>
            </w:r>
          </w:p>
        </w:tc>
        <w:tc>
          <w:tcPr>
            <w:tcW w:type="dxa" w:w="1728"/>
          </w:tcPr>
          <w:p>
            <w:r>
              <w:rPr>
                <w:rFonts w:ascii="Calibri" w:hAnsi="Calibri"/>
                <w:sz w:val="22"/>
              </w:rPr>
              <w:t>Geopolitical issues “temporary”; expects fluidity to return</w:t>
            </w:r>
          </w:p>
        </w:tc>
        <w:tc>
          <w:tcPr>
            <w:tcW w:type="dxa" w:w="1728"/>
          </w:tcPr>
          <w:p>
            <w:r>
              <w:rPr>
                <w:rFonts w:ascii="Calibri" w:hAnsi="Calibri"/>
                <w:sz w:val="22"/>
              </w:rPr>
              <w:t>Concerns persist “until peacefully resolved”</w:t>
            </w:r>
          </w:p>
        </w:tc>
        <w:tc>
          <w:tcPr>
            <w:tcW w:type="dxa" w:w="1728"/>
          </w:tcPr>
          <w:p>
            <w:r>
              <w:rPr>
                <w:rFonts w:ascii="Calibri" w:hAnsi="Calibri"/>
                <w:b/>
                <w:color w:val="002FA7"/>
                <w:sz w:val="22"/>
              </w:rPr>
              <w:t>Mixed — NTR/ICL support CF’s “longer tail” thesis; MOS more cautious</w:t>
            </w:r>
          </w:p>
        </w:tc>
      </w:tr>
      <w:tr>
        <w:tc>
          <w:tcPr>
            <w:tcW w:type="dxa" w:w="1728"/>
          </w:tcPr>
          <w:p>
            <w:r>
              <w:rPr>
                <w:rFonts w:ascii="Calibri" w:hAnsi="Calibri"/>
                <w:sz w:val="22"/>
              </w:rPr>
              <w:t>Channel Inventory / Fill Program</w:t>
            </w:r>
          </w:p>
        </w:tc>
        <w:tc>
          <w:tcPr>
            <w:tcW w:type="dxa" w:w="1728"/>
          </w:tcPr>
          <w:p>
            <w:r>
              <w:rPr>
                <w:rFonts w:ascii="Calibri" w:hAnsi="Calibri"/>
                <w:sz w:val="22"/>
              </w:rPr>
              <w:t>Channels expected to be “very empty” at spring end; fill timing uncertain due to Middle East</w:t>
            </w:r>
          </w:p>
        </w:tc>
        <w:tc>
          <w:tcPr>
            <w:tcW w:type="dxa" w:w="1728"/>
          </w:tcPr>
          <w:p>
            <w:r>
              <w:rPr>
                <w:rFonts w:ascii="Calibri" w:hAnsi="Calibri"/>
                <w:sz w:val="22"/>
              </w:rPr>
              <w:t>Brazil inventories extremely low; LatAm demand contraction risk</w:t>
            </w:r>
          </w:p>
        </w:tc>
        <w:tc>
          <w:tcPr>
            <w:tcW w:type="dxa" w:w="1728"/>
          </w:tcPr>
          <w:p>
            <w:r>
              <w:rPr>
                <w:rFonts w:ascii="Calibri" w:hAnsi="Calibri"/>
                <w:sz w:val="22"/>
              </w:rPr>
              <w:t>No specific commentary</w:t>
            </w:r>
          </w:p>
        </w:tc>
        <w:tc>
          <w:tcPr>
            <w:tcW w:type="dxa" w:w="1728"/>
          </w:tcPr>
          <w:p>
            <w:r>
              <w:rPr>
                <w:rFonts w:ascii="Calibri" w:hAnsi="Calibri"/>
                <w:b/>
                <w:color w:val="30A46C"/>
                <w:sz w:val="22"/>
              </w:rPr>
              <w:t>Positive for CF fill program — empty channels support strong fill season</w:t>
            </w:r>
          </w:p>
        </w:tc>
      </w:tr>
      <w:tr>
        <w:tc>
          <w:tcPr>
            <w:tcW w:type="dxa" w:w="1728"/>
          </w:tcPr>
          <w:p>
            <w:r>
              <w:rPr>
                <w:rFonts w:ascii="Calibri" w:hAnsi="Calibri"/>
                <w:sz w:val="22"/>
              </w:rPr>
              <w:t>Farmer Demand / Crop Prices</w:t>
            </w:r>
          </w:p>
        </w:tc>
        <w:tc>
          <w:tcPr>
            <w:tcW w:type="dxa" w:w="1728"/>
          </w:tcPr>
          <w:p>
            <w:r>
              <w:rPr>
                <w:rFonts w:ascii="Calibri" w:hAnsi="Calibri"/>
                <w:sz w:val="22"/>
              </w:rPr>
              <w:t>Corn/soybean futures at 52-week highs; nitrogen application rates “about as expected”; no demand destruction in nitrogen</w:t>
            </w:r>
          </w:p>
        </w:tc>
        <w:tc>
          <w:tcPr>
            <w:tcW w:type="dxa" w:w="1728"/>
          </w:tcPr>
          <w:p>
            <w:r>
              <w:rPr>
                <w:rFonts w:ascii="Calibri" w:hAnsi="Calibri"/>
                <w:sz w:val="22"/>
              </w:rPr>
              <w:t>Farm economics challenging; careful purchasing; Brazil demand contraction</w:t>
            </w:r>
          </w:p>
        </w:tc>
        <w:tc>
          <w:tcPr>
            <w:tcW w:type="dxa" w:w="1728"/>
          </w:tcPr>
          <w:p>
            <w:r>
              <w:rPr>
                <w:rFonts w:ascii="Calibri" w:hAnsi="Calibri"/>
                <w:sz w:val="22"/>
              </w:rPr>
              <w:t>Farmer sentiment declining; affordability at 5-year low; grain prices improving but insufficient</w:t>
            </w:r>
          </w:p>
        </w:tc>
        <w:tc>
          <w:tcPr>
            <w:tcW w:type="dxa" w:w="1728"/>
          </w:tcPr>
          <w:p>
            <w:r>
              <w:rPr>
                <w:rFonts w:ascii="Calibri" w:hAnsi="Calibri"/>
                <w:b/>
                <w:color w:val="002FA7"/>
                <w:sz w:val="22"/>
              </w:rPr>
              <w:t>Mixed — North American demand intact (positive for CF); LatAm/global demand at risk (limited CF exposure)</w:t>
            </w:r>
          </w:p>
        </w:tc>
      </w:tr>
      <w:tr>
        <w:tc>
          <w:tcPr>
            <w:tcW w:type="dxa" w:w="1728"/>
          </w:tcPr>
          <w:p>
            <w:r>
              <w:rPr>
                <w:rFonts w:ascii="Calibri" w:hAnsi="Calibri"/>
                <w:sz w:val="22"/>
              </w:rPr>
              <w:t>China Export Risk</w:t>
            </w:r>
          </w:p>
        </w:tc>
        <w:tc>
          <w:tcPr>
            <w:tcW w:type="dxa" w:w="1728"/>
          </w:tcPr>
          <w:p>
            <w:r>
              <w:rPr>
                <w:rFonts w:ascii="Calibri" w:hAnsi="Calibri"/>
                <w:sz w:val="22"/>
              </w:rPr>
              <w:t>China restricting urea exports to 3–4M tons vs. 5M tons last year</w:t>
            </w:r>
          </w:p>
        </w:tc>
        <w:tc>
          <w:tcPr>
            <w:tcW w:type="dxa" w:w="1728"/>
          </w:tcPr>
          <w:p>
            <w:r>
              <w:rPr>
                <w:rFonts w:ascii="Calibri" w:hAnsi="Calibri"/>
                <w:sz w:val="22"/>
              </w:rPr>
              <w:t>Not specifically mentioned</w:t>
            </w:r>
          </w:p>
        </w:tc>
        <w:tc>
          <w:tcPr>
            <w:tcW w:type="dxa" w:w="1728"/>
          </w:tcPr>
          <w:p>
            <w:r>
              <w:rPr>
                <w:rFonts w:ascii="Calibri" w:hAnsi="Calibri"/>
                <w:sz w:val="22"/>
              </w:rPr>
              <w:t>Not specifically mentioned</w:t>
            </w:r>
          </w:p>
        </w:tc>
        <w:tc>
          <w:tcPr>
            <w:tcW w:type="dxa" w:w="1728"/>
          </w:tcPr>
          <w:p>
            <w:r>
              <w:rPr>
                <w:rFonts w:ascii="Calibri" w:hAnsi="Calibri"/>
                <w:b/>
                <w:color w:val="30A46C"/>
                <w:sz w:val="22"/>
              </w:rPr>
              <w:t>Positive — reduced China exports keep global markets tighter</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sells (Form 4 codes P/S) were filed in the period since Q1 earnings. The only Form 4 activity was a stock award (code A) to the CFO in May 2026 — routine compensation, not a discretionary signal. The absence of insider selling into the post-earnings rally is a mild positive.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Andrew Scribner</w:t>
            </w:r>
          </w:p>
        </w:tc>
        <w:tc>
          <w:tcPr>
            <w:tcW w:type="dxa" w:w="1440"/>
          </w:tcPr>
          <w:p>
            <w:r>
              <w:rPr>
                <w:rFonts w:ascii="Calibri" w:hAnsi="Calibri"/>
                <w:sz w:val="22"/>
              </w:rPr>
              <w:t>EVP and CFO</w:t>
            </w:r>
          </w:p>
        </w:tc>
        <w:tc>
          <w:tcPr>
            <w:tcW w:type="dxa" w:w="1440"/>
          </w:tcPr>
          <w:p>
            <w:r>
              <w:rPr>
                <w:rFonts w:ascii="Calibri" w:hAnsi="Calibri"/>
                <w:sz w:val="22"/>
              </w:rPr>
              <w:t>Stock Award (Code A)</w:t>
            </w:r>
          </w:p>
        </w:tc>
        <w:tc>
          <w:tcPr>
            <w:tcW w:type="dxa" w:w="1440"/>
          </w:tcPr>
          <w:p>
            <w:r>
              <w:rPr>
                <w:rFonts w:ascii="Calibri" w:hAnsi="Calibri"/>
                <w:sz w:val="22"/>
              </w:rPr>
              <w:t>6,464 shares</w:t>
            </w:r>
          </w:p>
        </w:tc>
        <w:tc>
          <w:tcPr>
            <w:tcW w:type="dxa" w:w="1440"/>
          </w:tcPr>
          <w:p>
            <w:r>
              <w:rPr>
                <w:rFonts w:ascii="Calibri" w:hAnsi="Calibri"/>
                <w:sz w:val="22"/>
              </w:rPr>
              <w:t>May 26, 2026</w:t>
            </w:r>
          </w:p>
        </w:tc>
        <w:tc>
          <w:tcPr>
            <w:tcW w:type="dxa" w:w="1440"/>
          </w:tcPr>
          <w:p>
            <w:r>
              <w:rPr>
                <w:rFonts w:ascii="Calibri" w:hAnsi="Calibri"/>
                <w:sz w:val="22"/>
              </w:rPr>
              <w:t>Routine equity compensation award; not a discretionary open-market transaction; no buy/sell signal</w:t>
            </w:r>
          </w:p>
        </w:tc>
      </w:tr>
    </w:tbl>
    <w:p>
      <w:r>
        <w:rPr>
          <w:rFonts w:ascii="Calibri" w:hAnsi="Calibri"/>
          <w:color w:val="525866"/>
          <w:sz w:val="22"/>
        </w:rPr>
        <w:t>Note: No open-market purchases (Code P) or sales (Code S) were identified for CF insiders in the period from May 6, 2026 through August 4, 2026. The absence of discretionary insider selling following the Q1 earnings beat and subsequent stock recovery is a mild positive signal.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