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CF Industries Holdings, Inc. (CF)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CF Industries Holdings, Inc.</w:t>
            </w:r>
          </w:p>
        </w:tc>
      </w:tr>
      <w:tr>
        <w:tc>
          <w:tcPr>
            <w:tcW w:type="dxa" w:w="4320"/>
          </w:tcPr>
          <w:p>
            <w:r>
              <w:rPr>
                <w:rFonts w:ascii="Calibri" w:hAnsi="Calibri"/>
                <w:b/>
                <w:sz w:val="22"/>
              </w:rPr>
              <w:t>Ticker</w:t>
            </w:r>
          </w:p>
        </w:tc>
        <w:tc>
          <w:tcPr>
            <w:tcW w:type="dxa" w:w="4320"/>
          </w:tcPr>
          <w:p>
            <w:r>
              <w:rPr>
                <w:rFonts w:ascii="Calibri" w:hAnsi="Calibri"/>
                <w:sz w:val="22"/>
              </w:rPr>
              <w:t>NYSE: CF</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After market close, Wednesday August 5, 2026</w:t>
            </w:r>
          </w:p>
        </w:tc>
      </w:tr>
      <w:tr>
        <w:tc>
          <w:tcPr>
            <w:tcW w:type="dxa" w:w="4320"/>
          </w:tcPr>
          <w:p>
            <w:r>
              <w:rPr>
                <w:rFonts w:ascii="Calibri" w:hAnsi="Calibri"/>
                <w:b/>
                <w:sz w:val="22"/>
              </w:rPr>
              <w:t>Conference Call</w:t>
            </w:r>
          </w:p>
        </w:tc>
        <w:tc>
          <w:tcPr>
            <w:tcW w:type="dxa" w:w="4320"/>
          </w:tcPr>
          <w:p>
            <w:r>
              <w:rPr>
                <w:rFonts w:ascii="Calibri" w:hAnsi="Calibri"/>
                <w:sz w:val="22"/>
              </w:rPr>
              <w:t>Thursday August 6, 2026 at 11:00 a.m. ET</w:t>
            </w:r>
          </w:p>
        </w:tc>
      </w:tr>
      <w:tr>
        <w:tc>
          <w:tcPr>
            <w:tcW w:type="dxa" w:w="4320"/>
          </w:tcPr>
          <w:p>
            <w:r>
              <w:rPr>
                <w:rFonts w:ascii="Calibri" w:hAnsi="Calibri"/>
                <w:b/>
                <w:sz w:val="22"/>
              </w:rPr>
              <w:t>Document Prepared</w:t>
            </w:r>
          </w:p>
        </w:tc>
        <w:tc>
          <w:tcPr>
            <w:tcW w:type="dxa" w:w="4320"/>
          </w:tcPr>
          <w:p>
            <w:r>
              <w:rPr>
                <w:rFonts w:ascii="Calibri" w:hAnsi="Calibri"/>
                <w:sz w:val="22"/>
              </w:rPr>
              <w:t>August 4, 2026</w:t>
            </w:r>
          </w:p>
        </w:tc>
      </w:tr>
      <w:tr>
        <w:tc>
          <w:tcPr>
            <w:tcW w:type="dxa" w:w="4320"/>
          </w:tcPr>
          <w:p>
            <w:r>
              <w:rPr>
                <w:rFonts w:ascii="Calibri" w:hAnsi="Calibri"/>
                <w:b/>
                <w:sz w:val="22"/>
              </w:rPr>
              <w:t>Last Earnings Date</w:t>
            </w:r>
          </w:p>
        </w:tc>
        <w:tc>
          <w:tcPr>
            <w:tcW w:type="dxa" w:w="4320"/>
          </w:tcPr>
          <w:p>
            <w:r>
              <w:rPr>
                <w:rFonts w:ascii="Calibri" w:hAnsi="Calibri"/>
                <w:sz w:val="22"/>
              </w:rPr>
              <w:t>May 6,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nuanced — consensus has been revised sharply higher since Q1 (Q2 EPS consensus ~$5.59 vs. ~$2.75 at last earnings), yet the stock already priced in much of the geopolitical tailwind; the biggest swing factor is whether realized urea and ammonia prices in Q2 tracked the elevated global benchmarks or were dampened by North America's status as the world's lowest-priced market during the quarter.</w:t>
      </w:r>
    </w:p>
    <w:p>
      <w:r>
        <w:rPr>
          <w:rFonts w:ascii="Calibri" w:hAnsi="Calibri"/>
          <w:color w:val="525866"/>
          <w:sz w:val="22"/>
        </w:rPr>
        <w:t xml:space="preserve">Heading into CF's Q2 2026 print, the bar is meaningfully higher than it was a quarter ago, with consensus Adjusted EBITDA at ~$1.35B and operating EPS at ~$5.59 — both reflecting the dramatic upward revision cycle triggered by the Iran conflict and Strait of Hormuz supply shock that began late in Q1. </w:t>
      </w:r>
      <w:r>
        <w:rPr>
          <w:rFonts w:ascii="Calibri" w:hAnsi="Calibri"/>
          <w:b/>
          <w:color w:val="525866"/>
          <w:sz w:val="22"/>
        </w:rPr>
        <w:t>Management's tone at the May 13 BMO conference was structurally bullish</w:t>
      </w:r>
      <w:r>
        <w:rPr>
          <w:rFonts w:ascii="Calibri" w:hAnsi="Calibri"/>
          <w:color w:val="525866"/>
          <w:sz w:val="22"/>
        </w:rPr>
        <w:t xml:space="preserve">: Bert Frost described a "unique supply-limited market," flagged India's urea import requirements rising to 10–13 million metric tons (above the 10–12 million cited at Q1 earnings), and confirmed the fill program would launch in early August with channel inventories expected to be near-empty by end of June — a clean setup for strong fill-season pricing. </w:t>
      </w:r>
      <w:r>
        <w:rPr>
          <w:rFonts w:ascii="Calibri" w:hAnsi="Calibri"/>
          <w:b/>
          <w:color w:val="525866"/>
          <w:sz w:val="22"/>
        </w:rPr>
        <w:t>Estimate revisions have tracked guidance directionally</w:t>
      </w:r>
      <w:r>
        <w:rPr>
          <w:rFonts w:ascii="Calibri" w:hAnsi="Calibri"/>
          <w:color w:val="525866"/>
          <w:sz w:val="22"/>
        </w:rPr>
        <w:t xml:space="preserve">, with Q2 EPS moving from $2.75 at the Q1 print to $5.59 currently, though the FY2026 consensus of $16.47 implies a meaningful step-down in H2 that may prove conservative if the geopolitical premium persists. </w:t>
      </w:r>
      <w:r>
        <w:rPr>
          <w:rFonts w:ascii="Calibri" w:hAnsi="Calibri"/>
          <w:b/>
          <w:color w:val="525866"/>
          <w:sz w:val="22"/>
        </w:rPr>
        <w:t>The stock declined sharply on Q1 earnings day despite a large beat</w:t>
      </w:r>
      <w:r>
        <w:rPr>
          <w:rFonts w:ascii="Calibri" w:hAnsi="Calibri"/>
          <w:color w:val="525866"/>
          <w:sz w:val="22"/>
        </w:rPr>
        <w:t xml:space="preserve"> (suggesting the Iran tailwind was priced in), then traded in a wide range of ~$102–$130 before recovering to ~$118 ahead of this print — the multiple has compressed from ~12.7x NTM P/E six months ago to ~8.95x today, leaving room for re-rating if Q2 results and Q3 fill-program commentary exceed expectations. The key wildcard is </w:t>
      </w:r>
      <w:r>
        <w:rPr>
          <w:rFonts w:ascii="Calibri" w:hAnsi="Calibri"/>
          <w:b/>
          <w:color w:val="525866"/>
          <w:sz w:val="22"/>
        </w:rPr>
        <w:t>the timing and pricing of the summer fill program</w:t>
      </w:r>
      <w:r>
        <w:rPr>
          <w:rFonts w:ascii="Calibri" w:hAnsi="Calibri"/>
          <w:color w:val="525866"/>
          <w:sz w:val="22"/>
        </w:rPr>
        <w:t>: management guided for an early-August launch with near-zero channel inventory, and any color on fill-program volumes, pricing, or customer demand will likely drive the stock more than the Q2 reported numbers themselves.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high bar in absolute terms but may be achievable given the geopolitical supply shock that persisted through Q2; </w:t>
      </w:r>
      <w:r>
        <w:rPr>
          <w:rFonts w:ascii="Calibri" w:hAnsi="Calibri"/>
          <w:b/>
          <w:color w:val="525866"/>
          <w:sz w:val="22"/>
        </w:rPr>
        <w:t>urea and ammonia realized pricing are the bigger swing factors</w:t>
      </w:r>
      <w:r>
        <w:rPr>
          <w:rFonts w:ascii="Calibri" w:hAnsi="Calibri"/>
          <w:color w:val="525866"/>
          <w:sz w:val="22"/>
        </w:rPr>
        <w:t xml:space="preserve"> — consensus urea ASP of ~$592/ton and ammonia ASP of ~$663/ton imply significant YoY improvement, and any miss on volumes (given the Yazoo City outage and North America's role as the world's lowest-priced market in Q2) could offset pricing upside.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 (Prior Year)</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Guidance / Mgmt Commentary</w:t>
            </w:r>
          </w:p>
        </w:tc>
      </w:tr>
      <w:tr>
        <w:tc>
          <w:tcPr>
            <w:tcW w:type="dxa" w:w="1440"/>
          </w:tcPr>
          <w:p>
            <w:r>
              <w:rPr>
                <w:rFonts w:ascii="Calibri" w:hAnsi="Calibri"/>
                <w:sz w:val="22"/>
              </w:rPr>
              <w:t>Net Sales ($M)</w:t>
            </w:r>
          </w:p>
        </w:tc>
        <w:tc>
          <w:tcPr>
            <w:tcW w:type="dxa" w:w="1440"/>
          </w:tcPr>
          <w:p>
            <w:r>
              <w:rPr>
                <w:rFonts w:ascii="Calibri" w:hAnsi="Calibri"/>
                <w:sz w:val="22"/>
              </w:rPr>
              <w:t>$1,986M</w:t>
            </w:r>
          </w:p>
        </w:tc>
        <w:tc>
          <w:tcPr>
            <w:tcW w:type="dxa" w:w="1440"/>
          </w:tcPr>
          <w:p>
            <w:r>
              <w:rPr>
                <w:rFonts w:ascii="Calibri" w:hAnsi="Calibri"/>
                <w:sz w:val="22"/>
              </w:rPr>
              <w:t>$1,890M</w:t>
            </w:r>
          </w:p>
        </w:tc>
        <w:tc>
          <w:tcPr>
            <w:tcW w:type="dxa" w:w="1440"/>
          </w:tcPr>
          <w:p>
            <w:r>
              <w:rPr>
                <w:rFonts w:ascii="Calibri" w:hAnsi="Calibri"/>
                <w:sz w:val="22"/>
              </w:rPr>
              <w:t>$2,429M</w:t>
            </w:r>
          </w:p>
        </w:tc>
        <w:tc>
          <w:tcPr>
            <w:tcW w:type="dxa" w:w="1440"/>
          </w:tcPr>
          <w:p>
            <w:r>
              <w:rPr>
                <w:rFonts w:ascii="Calibri" w:hAnsi="Calibri"/>
                <w:sz w:val="22"/>
              </w:rPr>
              <w:t>+28.5%</w:t>
            </w:r>
          </w:p>
        </w:tc>
        <w:tc>
          <w:tcPr>
            <w:tcW w:type="dxa" w:w="1440"/>
          </w:tcPr>
          <w:p>
            <w:r>
              <w:rPr>
                <w:rFonts w:ascii="Calibri" w:hAnsi="Calibri"/>
                <w:sz w:val="22"/>
              </w:rPr>
              <w:t>No specific Q2 guidance; tight global supply expected to support pricing</w:t>
            </w:r>
          </w:p>
        </w:tc>
      </w:tr>
      <w:tr>
        <w:tc>
          <w:tcPr>
            <w:tcW w:type="dxa" w:w="1440"/>
          </w:tcPr>
          <w:p>
            <w:r>
              <w:rPr>
                <w:rFonts w:ascii="Calibri" w:hAnsi="Calibri"/>
                <w:sz w:val="22"/>
              </w:rPr>
              <w:t>Adjusted EBITDA ($M)</w:t>
            </w:r>
          </w:p>
        </w:tc>
        <w:tc>
          <w:tcPr>
            <w:tcW w:type="dxa" w:w="1440"/>
          </w:tcPr>
          <w:p>
            <w:r>
              <w:rPr>
                <w:rFonts w:ascii="Calibri" w:hAnsi="Calibri"/>
                <w:sz w:val="22"/>
              </w:rPr>
              <w:t>$983M</w:t>
            </w:r>
          </w:p>
        </w:tc>
        <w:tc>
          <w:tcPr>
            <w:tcW w:type="dxa" w:w="1440"/>
          </w:tcPr>
          <w:p>
            <w:r>
              <w:rPr>
                <w:rFonts w:ascii="Calibri" w:hAnsi="Calibri"/>
                <w:sz w:val="22"/>
              </w:rPr>
              <w:t>$761M</w:t>
            </w:r>
          </w:p>
        </w:tc>
        <w:tc>
          <w:tcPr>
            <w:tcW w:type="dxa" w:w="1440"/>
          </w:tcPr>
          <w:p>
            <w:r>
              <w:rPr>
                <w:rFonts w:ascii="Calibri" w:hAnsi="Calibri"/>
                <w:sz w:val="22"/>
              </w:rPr>
              <w:t>$1,348M</w:t>
            </w:r>
          </w:p>
        </w:tc>
        <w:tc>
          <w:tcPr>
            <w:tcW w:type="dxa" w:w="1440"/>
          </w:tcPr>
          <w:p>
            <w:r>
              <w:rPr>
                <w:rFonts w:ascii="Calibri" w:hAnsi="Calibri"/>
                <w:sz w:val="22"/>
              </w:rPr>
              <w:t>+77.1%</w:t>
            </w:r>
          </w:p>
        </w:tc>
        <w:tc>
          <w:tcPr>
            <w:tcW w:type="dxa" w:w="1440"/>
          </w:tcPr>
          <w:p>
            <w:r>
              <w:rPr>
                <w:rFonts w:ascii="Calibri" w:hAnsi="Calibri"/>
                <w:sz w:val="22"/>
              </w:rPr>
              <w:t>No specific Q2 guidance; FY2026 CapEx ~$1.3B consolidated</w:t>
            </w:r>
          </w:p>
        </w:tc>
      </w:tr>
      <w:tr>
        <w:tc>
          <w:tcPr>
            <w:tcW w:type="dxa" w:w="1440"/>
          </w:tcPr>
          <w:p>
            <w:r>
              <w:rPr>
                <w:rFonts w:ascii="Calibri" w:hAnsi="Calibri"/>
                <w:sz w:val="22"/>
              </w:rPr>
              <w:t>EPS — Diluted Operating ($)</w:t>
            </w:r>
          </w:p>
        </w:tc>
        <w:tc>
          <w:tcPr>
            <w:tcW w:type="dxa" w:w="1440"/>
          </w:tcPr>
          <w:p>
            <w:r>
              <w:rPr>
                <w:rFonts w:ascii="Calibri" w:hAnsi="Calibri"/>
                <w:sz w:val="22"/>
              </w:rPr>
              <w:t>$3.98</w:t>
            </w:r>
          </w:p>
        </w:tc>
        <w:tc>
          <w:tcPr>
            <w:tcW w:type="dxa" w:w="1440"/>
          </w:tcPr>
          <w:p>
            <w:r>
              <w:rPr>
                <w:rFonts w:ascii="Calibri" w:hAnsi="Calibri"/>
                <w:sz w:val="22"/>
              </w:rPr>
              <w:t>$2.37</w:t>
            </w:r>
          </w:p>
        </w:tc>
        <w:tc>
          <w:tcPr>
            <w:tcW w:type="dxa" w:w="1440"/>
          </w:tcPr>
          <w:p>
            <w:r>
              <w:rPr>
                <w:rFonts w:ascii="Calibri" w:hAnsi="Calibri"/>
                <w:sz w:val="22"/>
              </w:rPr>
              <w:t>$5.59</w:t>
            </w:r>
          </w:p>
        </w:tc>
        <w:tc>
          <w:tcPr>
            <w:tcW w:type="dxa" w:w="1440"/>
          </w:tcPr>
          <w:p>
            <w:r>
              <w:rPr>
                <w:rFonts w:ascii="Calibri" w:hAnsi="Calibri"/>
                <w:sz w:val="22"/>
              </w:rPr>
              <w:t>+136%</w:t>
            </w:r>
          </w:p>
        </w:tc>
        <w:tc>
          <w:tcPr>
            <w:tcW w:type="dxa" w:w="1440"/>
          </w:tcPr>
          <w:p>
            <w:r>
              <w:rPr>
                <w:rFonts w:ascii="Calibri" w:hAnsi="Calibri"/>
                <w:sz w:val="22"/>
              </w:rPr>
              <w:t>No specific Q2 EPS guidance provided</w:t>
            </w:r>
          </w:p>
        </w:tc>
      </w:tr>
      <w:tr>
        <w:tc>
          <w:tcPr>
            <w:tcW w:type="dxa" w:w="1440"/>
          </w:tcPr>
          <w:p>
            <w:r>
              <w:rPr>
                <w:rFonts w:ascii="Calibri" w:hAnsi="Calibri"/>
                <w:sz w:val="22"/>
              </w:rPr>
              <w:t>Avg. Selling Price — Urea ($/ton)</w:t>
            </w:r>
          </w:p>
        </w:tc>
        <w:tc>
          <w:tcPr>
            <w:tcW w:type="dxa" w:w="1440"/>
          </w:tcPr>
          <w:p>
            <w:r>
              <w:rPr>
                <w:rFonts w:ascii="Calibri" w:hAnsi="Calibri"/>
                <w:sz w:val="22"/>
              </w:rPr>
              <w:t>$457/ton</w:t>
            </w:r>
          </w:p>
        </w:tc>
        <w:tc>
          <w:tcPr>
            <w:tcW w:type="dxa" w:w="1440"/>
          </w:tcPr>
          <w:p>
            <w:r>
              <w:rPr>
                <w:rFonts w:ascii="Calibri" w:hAnsi="Calibri"/>
                <w:sz w:val="22"/>
              </w:rPr>
              <w:t>$460/ton</w:t>
            </w:r>
          </w:p>
        </w:tc>
        <w:tc>
          <w:tcPr>
            <w:tcW w:type="dxa" w:w="1440"/>
          </w:tcPr>
          <w:p>
            <w:r>
              <w:rPr>
                <w:rFonts w:ascii="Calibri" w:hAnsi="Calibri"/>
                <w:sz w:val="22"/>
              </w:rPr>
              <w:t>$592/ton</w:t>
            </w:r>
          </w:p>
        </w:tc>
        <w:tc>
          <w:tcPr>
            <w:tcW w:type="dxa" w:w="1440"/>
          </w:tcPr>
          <w:p>
            <w:r>
              <w:rPr>
                <w:rFonts w:ascii="Calibri" w:hAnsi="Calibri"/>
                <w:sz w:val="22"/>
              </w:rPr>
              <w:t>+28.7%</w:t>
            </w:r>
          </w:p>
        </w:tc>
        <w:tc>
          <w:tcPr>
            <w:tcW w:type="dxa" w:w="1440"/>
          </w:tcPr>
          <w:p>
            <w:r>
              <w:rPr>
                <w:rFonts w:ascii="Calibri" w:hAnsi="Calibri"/>
                <w:sz w:val="22"/>
              </w:rPr>
              <w:t>NOLA ~$600/short ton at Q1 call; offshore $700–$800/MT; North America lowest-priced market globally</w:t>
            </w:r>
          </w:p>
        </w:tc>
      </w:tr>
      <w:tr>
        <w:tc>
          <w:tcPr>
            <w:tcW w:type="dxa" w:w="1440"/>
          </w:tcPr>
          <w:p>
            <w:r>
              <w:rPr>
                <w:rFonts w:ascii="Calibri" w:hAnsi="Calibri"/>
                <w:sz w:val="22"/>
              </w:rPr>
              <w:t>Avg. Selling Price — Ammonia ($/ton)</w:t>
            </w:r>
          </w:p>
        </w:tc>
        <w:tc>
          <w:tcPr>
            <w:tcW w:type="dxa" w:w="1440"/>
          </w:tcPr>
          <w:p>
            <w:r>
              <w:rPr>
                <w:rFonts w:ascii="Calibri" w:hAnsi="Calibri"/>
                <w:sz w:val="22"/>
              </w:rPr>
              <w:t>$568/ton</w:t>
            </w:r>
          </w:p>
        </w:tc>
        <w:tc>
          <w:tcPr>
            <w:tcW w:type="dxa" w:w="1440"/>
          </w:tcPr>
          <w:p>
            <w:r>
              <w:rPr>
                <w:rFonts w:ascii="Calibri" w:hAnsi="Calibri"/>
                <w:sz w:val="22"/>
              </w:rPr>
              <w:t>$452/ton</w:t>
            </w:r>
          </w:p>
        </w:tc>
        <w:tc>
          <w:tcPr>
            <w:tcW w:type="dxa" w:w="1440"/>
          </w:tcPr>
          <w:p>
            <w:r>
              <w:rPr>
                <w:rFonts w:ascii="Calibri" w:hAnsi="Calibri"/>
                <w:sz w:val="22"/>
              </w:rPr>
              <w:t>$663/ton</w:t>
            </w:r>
          </w:p>
        </w:tc>
        <w:tc>
          <w:tcPr>
            <w:tcW w:type="dxa" w:w="1440"/>
          </w:tcPr>
          <w:p>
            <w:r>
              <w:rPr>
                <w:rFonts w:ascii="Calibri" w:hAnsi="Calibri"/>
                <w:sz w:val="22"/>
              </w:rPr>
              <w:t>+46.7%</w:t>
            </w:r>
          </w:p>
        </w:tc>
        <w:tc>
          <w:tcPr>
            <w:tcW w:type="dxa" w:w="1440"/>
          </w:tcPr>
          <w:p>
            <w:r>
              <w:rPr>
                <w:rFonts w:ascii="Calibri" w:hAnsi="Calibri"/>
                <w:sz w:val="22"/>
              </w:rPr>
              <w:t>Geopolitical risk premium expected to persist; pricing "higher than normal for longer"</w:t>
            </w:r>
          </w:p>
        </w:tc>
      </w:tr>
      <w:tr>
        <w:tc>
          <w:tcPr>
            <w:tcW w:type="dxa" w:w="1440"/>
          </w:tcPr>
          <w:p>
            <w:r>
              <w:rPr>
                <w:rFonts w:ascii="Calibri" w:hAnsi="Calibri"/>
                <w:sz w:val="22"/>
              </w:rPr>
              <w:t>Sales Volume — Urea (Kshort tons)</w:t>
            </w:r>
          </w:p>
        </w:tc>
        <w:tc>
          <w:tcPr>
            <w:tcW w:type="dxa" w:w="1440"/>
          </w:tcPr>
          <w:p>
            <w:r>
              <w:rPr>
                <w:rFonts w:ascii="Calibri" w:hAnsi="Calibri"/>
                <w:sz w:val="22"/>
              </w:rPr>
              <w:t>1,291 Ktons</w:t>
            </w:r>
          </w:p>
        </w:tc>
        <w:tc>
          <w:tcPr>
            <w:tcW w:type="dxa" w:w="1440"/>
          </w:tcPr>
          <w:p>
            <w:r>
              <w:rPr>
                <w:rFonts w:ascii="Calibri" w:hAnsi="Calibri"/>
                <w:sz w:val="22"/>
              </w:rPr>
              <w:t>1,188 Ktons</w:t>
            </w:r>
          </w:p>
        </w:tc>
        <w:tc>
          <w:tcPr>
            <w:tcW w:type="dxa" w:w="1440"/>
          </w:tcPr>
          <w:p>
            <w:r>
              <w:rPr>
                <w:rFonts w:ascii="Calibri" w:hAnsi="Calibri"/>
                <w:sz w:val="22"/>
              </w:rPr>
              <w:t>1,247 Ktons</w:t>
            </w:r>
          </w:p>
        </w:tc>
        <w:tc>
          <w:tcPr>
            <w:tcW w:type="dxa" w:w="1440"/>
          </w:tcPr>
          <w:p>
            <w:r>
              <w:rPr>
                <w:rFonts w:ascii="Calibri" w:hAnsi="Calibri"/>
                <w:sz w:val="22"/>
              </w:rPr>
              <w:t>+4.9%</w:t>
            </w:r>
          </w:p>
        </w:tc>
        <w:tc>
          <w:tcPr>
            <w:tcW w:type="dxa" w:w="1440"/>
          </w:tcPr>
          <w:p>
            <w:r>
              <w:rPr>
                <w:rFonts w:ascii="Calibri" w:hAnsi="Calibri"/>
                <w:sz w:val="22"/>
              </w:rPr>
              <w:t>Donaldsonville turnaround shifted to late June; product mix favoring urea over UAN</w:t>
            </w:r>
          </w:p>
        </w:tc>
      </w:tr>
      <w:tr>
        <w:tc>
          <w:tcPr>
            <w:tcW w:type="dxa" w:w="1440"/>
          </w:tcPr>
          <w:p>
            <w:r>
              <w:rPr>
                <w:rFonts w:ascii="Calibri" w:hAnsi="Calibri"/>
                <w:sz w:val="22"/>
              </w:rPr>
              <w:t>Sales Volume — Ammonia (Kshort tons)</w:t>
            </w:r>
          </w:p>
        </w:tc>
        <w:tc>
          <w:tcPr>
            <w:tcW w:type="dxa" w:w="1440"/>
          </w:tcPr>
          <w:p>
            <w:r>
              <w:rPr>
                <w:rFonts w:ascii="Calibri" w:hAnsi="Calibri"/>
                <w:sz w:val="22"/>
              </w:rPr>
              <w:t>1,103 Ktons</w:t>
            </w:r>
          </w:p>
        </w:tc>
        <w:tc>
          <w:tcPr>
            <w:tcW w:type="dxa" w:w="1440"/>
          </w:tcPr>
          <w:p>
            <w:r>
              <w:rPr>
                <w:rFonts w:ascii="Calibri" w:hAnsi="Calibri"/>
                <w:sz w:val="22"/>
              </w:rPr>
              <w:t>1,087 Ktons</w:t>
            </w:r>
          </w:p>
        </w:tc>
        <w:tc>
          <w:tcPr>
            <w:tcW w:type="dxa" w:w="1440"/>
          </w:tcPr>
          <w:p>
            <w:r>
              <w:rPr>
                <w:rFonts w:ascii="Calibri" w:hAnsi="Calibri"/>
                <w:sz w:val="22"/>
              </w:rPr>
              <w:t>1,033 Ktons</w:t>
            </w:r>
          </w:p>
        </w:tc>
        <w:tc>
          <w:tcPr>
            <w:tcW w:type="dxa" w:w="1440"/>
          </w:tcPr>
          <w:p>
            <w:r>
              <w:rPr>
                <w:rFonts w:ascii="Calibri" w:hAnsi="Calibri"/>
                <w:sz w:val="22"/>
              </w:rPr>
              <w:t>-5.0%</w:t>
            </w:r>
          </w:p>
        </w:tc>
        <w:tc>
          <w:tcPr>
            <w:tcW w:type="dxa" w:w="1440"/>
          </w:tcPr>
          <w:p>
            <w:r>
              <w:rPr>
                <w:rFonts w:ascii="Calibri" w:hAnsi="Calibri"/>
                <w:sz w:val="22"/>
              </w:rPr>
              <w:t>Yazoo City outage (offline until late Q4 2026 at earliest) constrains AN/DEF; ammonia volumes broadly stable</w:t>
            </w:r>
          </w:p>
        </w:tc>
      </w:tr>
      <w:tr>
        <w:tc>
          <w:tcPr>
            <w:tcW w:type="dxa" w:w="1440"/>
          </w:tcPr>
          <w:p>
            <w:r>
              <w:rPr>
                <w:rFonts w:ascii="Calibri" w:hAnsi="Calibri"/>
                <w:sz w:val="22"/>
              </w:rPr>
              <w:t>Natural Gas Cost ($/MMBtu)</w:t>
            </w:r>
          </w:p>
        </w:tc>
        <w:tc>
          <w:tcPr>
            <w:tcW w:type="dxa" w:w="1440"/>
          </w:tcPr>
          <w:p>
            <w:r>
              <w:rPr>
                <w:rFonts w:ascii="Calibri" w:hAnsi="Calibri"/>
                <w:sz w:val="22"/>
              </w:rPr>
              <w:t>$4.57/MMBtu</w:t>
            </w:r>
          </w:p>
        </w:tc>
        <w:tc>
          <w:tcPr>
            <w:tcW w:type="dxa" w:w="1440"/>
          </w:tcPr>
          <w:p>
            <w:r>
              <w:rPr>
                <w:rFonts w:ascii="Calibri" w:hAnsi="Calibri"/>
                <w:sz w:val="22"/>
              </w:rPr>
              <w:t>~$3.68/MMBtu (Q1 2025 proxy)</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Mgmt expects remainder of year to track NYMEX strip (~$2.60 at Q1 call); not hedged</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$983</w:t>
            </w:r>
          </w:p>
        </w:tc>
        <w:tc>
          <w:tcPr>
            <w:tcW w:type="dxa" w:w="1728"/>
          </w:tcPr>
          <w:p>
            <w:r>
              <w:rPr>
                <w:rFonts w:ascii="Calibri" w:hAnsi="Calibri"/>
                <w:sz w:val="22"/>
              </w:rPr>
              <w:t>$784</w:t>
            </w:r>
          </w:p>
        </w:tc>
        <w:tc>
          <w:tcPr>
            <w:tcW w:type="dxa" w:w="1728"/>
          </w:tcPr>
          <w:p>
            <w:r>
              <w:rPr>
                <w:rFonts w:ascii="Calibri" w:hAnsi="Calibri"/>
                <w:b/>
                <w:color w:val="30A46C"/>
                <w:sz w:val="22"/>
              </w:rPr>
              <w:t>+25.4%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$821</w:t>
            </w:r>
          </w:p>
        </w:tc>
        <w:tc>
          <w:tcPr>
            <w:tcW w:type="dxa" w:w="1728"/>
          </w:tcPr>
          <w:p>
            <w:r>
              <w:rPr>
                <w:rFonts w:ascii="Calibri" w:hAnsi="Calibri"/>
                <w:sz w:val="22"/>
              </w:rPr>
              <w:t>$750</w:t>
            </w:r>
          </w:p>
        </w:tc>
        <w:tc>
          <w:tcPr>
            <w:tcW w:type="dxa" w:w="1728"/>
          </w:tcPr>
          <w:p>
            <w:r>
              <w:rPr>
                <w:rFonts w:ascii="Calibri" w:hAnsi="Calibri"/>
                <w:b/>
                <w:color w:val="30A46C"/>
                <w:sz w:val="22"/>
              </w:rPr>
              <w:t>+9.5%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$667</w:t>
            </w:r>
          </w:p>
        </w:tc>
        <w:tc>
          <w:tcPr>
            <w:tcW w:type="dxa" w:w="1728"/>
          </w:tcPr>
          <w:p>
            <w:r>
              <w:rPr>
                <w:rFonts w:ascii="Calibri" w:hAnsi="Calibri"/>
                <w:sz w:val="22"/>
              </w:rPr>
              <w:t>$680</w:t>
            </w:r>
          </w:p>
        </w:tc>
        <w:tc>
          <w:tcPr>
            <w:tcW w:type="dxa" w:w="1728"/>
          </w:tcPr>
          <w:p>
            <w:r>
              <w:rPr>
                <w:rFonts w:ascii="Calibri" w:hAnsi="Calibri"/>
                <w:b/>
                <w:color w:val="E5484D"/>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$761</w:t>
            </w:r>
          </w:p>
        </w:tc>
        <w:tc>
          <w:tcPr>
            <w:tcW w:type="dxa" w:w="1728"/>
          </w:tcPr>
          <w:p>
            <w:r>
              <w:rPr>
                <w:rFonts w:ascii="Calibri" w:hAnsi="Calibri"/>
                <w:sz w:val="22"/>
              </w:rPr>
              <w:t>$776</w:t>
            </w:r>
          </w:p>
        </w:tc>
        <w:tc>
          <w:tcPr>
            <w:tcW w:type="dxa" w:w="1728"/>
          </w:tcPr>
          <w:p>
            <w:r>
              <w:rPr>
                <w:rFonts w:ascii="Calibri" w:hAnsi="Calibri"/>
                <w:b/>
                <w:color w:val="E5484D"/>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$644</w:t>
            </w:r>
          </w:p>
        </w:tc>
        <w:tc>
          <w:tcPr>
            <w:tcW w:type="dxa" w:w="1728"/>
          </w:tcPr>
          <w:p>
            <w:r>
              <w:rPr>
                <w:rFonts w:ascii="Calibri" w:hAnsi="Calibri"/>
                <w:sz w:val="22"/>
              </w:rPr>
              <w:t>$538</w:t>
            </w:r>
          </w:p>
        </w:tc>
        <w:tc>
          <w:tcPr>
            <w:tcW w:type="dxa" w:w="1728"/>
          </w:tcPr>
          <w:p>
            <w:r>
              <w:rPr>
                <w:rFonts w:ascii="Calibri" w:hAnsi="Calibri"/>
                <w:b/>
                <w:color w:val="30A46C"/>
                <w:sz w:val="22"/>
              </w:rPr>
              <w:t>+19.7%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$562</w:t>
            </w:r>
          </w:p>
        </w:tc>
        <w:tc>
          <w:tcPr>
            <w:tcW w:type="dxa" w:w="1728"/>
          </w:tcPr>
          <w:p>
            <w:r>
              <w:rPr>
                <w:rFonts w:ascii="Calibri" w:hAnsi="Calibri"/>
                <w:sz w:val="22"/>
              </w:rPr>
              <w:t>$586</w:t>
            </w:r>
          </w:p>
        </w:tc>
        <w:tc>
          <w:tcPr>
            <w:tcW w:type="dxa" w:w="1728"/>
          </w:tcPr>
          <w:p>
            <w:r>
              <w:rPr>
                <w:rFonts w:ascii="Calibri" w:hAnsi="Calibri"/>
                <w:b/>
                <w:color w:val="E5484D"/>
                <w:sz w:val="22"/>
              </w:rPr>
              <w:t>-4.1%</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$511</w:t>
            </w:r>
          </w:p>
        </w:tc>
        <w:tc>
          <w:tcPr>
            <w:tcW w:type="dxa" w:w="1728"/>
          </w:tcPr>
          <w:p>
            <w:r>
              <w:rPr>
                <w:rFonts w:ascii="Calibri" w:hAnsi="Calibri"/>
                <w:sz w:val="22"/>
              </w:rPr>
              <w:t>$501</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EPS — Diluted Operating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$3.98</w:t>
            </w:r>
          </w:p>
        </w:tc>
        <w:tc>
          <w:tcPr>
            <w:tcW w:type="dxa" w:w="1728"/>
          </w:tcPr>
          <w:p>
            <w:r>
              <w:rPr>
                <w:rFonts w:ascii="Calibri" w:hAnsi="Calibri"/>
                <w:sz w:val="22"/>
              </w:rPr>
              <w:t>$2.75</w:t>
            </w:r>
          </w:p>
        </w:tc>
        <w:tc>
          <w:tcPr>
            <w:tcW w:type="dxa" w:w="1728"/>
          </w:tcPr>
          <w:p>
            <w:r>
              <w:rPr>
                <w:rFonts w:ascii="Calibri" w:hAnsi="Calibri"/>
                <w:b/>
                <w:color w:val="30A46C"/>
                <w:sz w:val="22"/>
              </w:rPr>
              <w:t>+44.7%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$2.59</w:t>
            </w:r>
          </w:p>
        </w:tc>
        <w:tc>
          <w:tcPr>
            <w:tcW w:type="dxa" w:w="1728"/>
          </w:tcPr>
          <w:p>
            <w:r>
              <w:rPr>
                <w:rFonts w:ascii="Calibri" w:hAnsi="Calibri"/>
                <w:sz w:val="22"/>
              </w:rPr>
              <w:t>$2.52</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$2.19</w:t>
            </w:r>
          </w:p>
        </w:tc>
        <w:tc>
          <w:tcPr>
            <w:tcW w:type="dxa" w:w="1728"/>
          </w:tcPr>
          <w:p>
            <w:r>
              <w:rPr>
                <w:rFonts w:ascii="Calibri" w:hAnsi="Calibri"/>
                <w:sz w:val="22"/>
              </w:rPr>
              <w:t>$2.19</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$2.37</w:t>
            </w:r>
          </w:p>
        </w:tc>
        <w:tc>
          <w:tcPr>
            <w:tcW w:type="dxa" w:w="1728"/>
          </w:tcPr>
          <w:p>
            <w:r>
              <w:rPr>
                <w:rFonts w:ascii="Calibri" w:hAnsi="Calibri"/>
                <w:sz w:val="22"/>
              </w:rPr>
              <w:t>$2.47</w:t>
            </w:r>
          </w:p>
        </w:tc>
        <w:tc>
          <w:tcPr>
            <w:tcW w:type="dxa" w:w="1728"/>
          </w:tcPr>
          <w:p>
            <w:r>
              <w:rPr>
                <w:rFonts w:ascii="Calibri" w:hAnsi="Calibri"/>
                <w:b/>
                <w:color w:val="E5484D"/>
                <w:sz w:val="22"/>
              </w:rPr>
              <w:t>-4.0%</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$1.85</w:t>
            </w:r>
          </w:p>
        </w:tc>
        <w:tc>
          <w:tcPr>
            <w:tcW w:type="dxa" w:w="1728"/>
          </w:tcPr>
          <w:p>
            <w:r>
              <w:rPr>
                <w:rFonts w:ascii="Calibri" w:hAnsi="Calibri"/>
                <w:sz w:val="22"/>
              </w:rPr>
              <w:t>$1.38</w:t>
            </w:r>
          </w:p>
        </w:tc>
        <w:tc>
          <w:tcPr>
            <w:tcW w:type="dxa" w:w="1728"/>
          </w:tcPr>
          <w:p>
            <w:r>
              <w:rPr>
                <w:rFonts w:ascii="Calibri" w:hAnsi="Calibri"/>
                <w:b/>
                <w:color w:val="30A46C"/>
                <w:sz w:val="22"/>
              </w:rPr>
              <w:t>+34.1%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$1.89</w:t>
            </w:r>
          </w:p>
        </w:tc>
        <w:tc>
          <w:tcPr>
            <w:tcW w:type="dxa" w:w="1728"/>
          </w:tcPr>
          <w:p>
            <w:r>
              <w:rPr>
                <w:rFonts w:ascii="Calibri" w:hAnsi="Calibri"/>
                <w:sz w:val="22"/>
              </w:rPr>
              <w:t>$1.52</w:t>
            </w:r>
          </w:p>
        </w:tc>
        <w:tc>
          <w:tcPr>
            <w:tcW w:type="dxa" w:w="1728"/>
          </w:tcPr>
          <w:p>
            <w:r>
              <w:rPr>
                <w:rFonts w:ascii="Calibri" w:hAnsi="Calibri"/>
                <w:b/>
                <w:color w:val="30A46C"/>
                <w:sz w:val="22"/>
              </w:rPr>
              <w:t>+24.3%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$1.55</w:t>
            </w:r>
          </w:p>
        </w:tc>
        <w:tc>
          <w:tcPr>
            <w:tcW w:type="dxa" w:w="1728"/>
          </w:tcPr>
          <w:p>
            <w:r>
              <w:rPr>
                <w:rFonts w:ascii="Calibri" w:hAnsi="Calibri"/>
                <w:sz w:val="22"/>
              </w:rPr>
              <w:t>$1.17</w:t>
            </w:r>
          </w:p>
        </w:tc>
        <w:tc>
          <w:tcPr>
            <w:tcW w:type="dxa" w:w="1728"/>
          </w:tcPr>
          <w:p>
            <w:r>
              <w:rPr>
                <w:rFonts w:ascii="Calibri" w:hAnsi="Calibri"/>
                <w:b/>
                <w:color w:val="30A46C"/>
                <w:sz w:val="22"/>
              </w:rPr>
              <w:t>+32.5%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CF has beaten on operating EPS in 6 of the last 7 reported quarters, with the one miss (Q2 2025) occurring in a softer pricing environment; the Q1 2026 beat of +44.7% was the largest in the series, driven by the Iran supply shock and a one-time litigation settlement gain. The EBITDA beat/miss pattern is more mixed, with two consecutive misses in Q2–Q3 2025 before the sharp Q1 2026 beat, suggesting the bar on EBITDA is harder to clear when pricing is volatile.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has not issued formal numerical Q2 guidance, but tone has </w:t>
      </w:r>
      <w:r>
        <w:rPr>
          <w:rFonts w:ascii="Calibri" w:hAnsi="Calibri"/>
          <w:b/>
          <w:color w:val="525866"/>
          <w:sz w:val="22"/>
        </w:rPr>
        <w:t>escalated from bullish to structurally bullish</w:t>
      </w:r>
      <w:r>
        <w:rPr>
          <w:rFonts w:ascii="Calibri" w:hAnsi="Calibri"/>
          <w:color w:val="525866"/>
          <w:sz w:val="22"/>
        </w:rPr>
        <w:t xml:space="preserve"> since the Q1 print — the BMO conference on May 13 raised India import estimates, confirmed near-empty channel inventory, and locked in an early-August fill program launch, all of which are incremental positives versus the Q1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6–7)</w:t>
            </w:r>
          </w:p>
        </w:tc>
        <w:tc>
          <w:tcPr>
            <w:tcW w:type="dxa" w:w="1728"/>
            <w:shd w:val="clear" w:color="auto" w:fill="3B4259"/>
          </w:tcPr>
          <w:p>
            <w:r>
              <w:rPr>
                <w:rFonts w:ascii="Calibri" w:hAnsi="Calibri"/>
                <w:b/>
                <w:color w:val="FFFFFF"/>
                <w:sz w:val="22"/>
              </w:rPr>
              <w:t>Revised Guidance / Post-Earnings Update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CapEx (consolidated)</w:t>
            </w:r>
          </w:p>
        </w:tc>
        <w:tc>
          <w:tcPr>
            <w:tcW w:type="dxa" w:w="1728"/>
          </w:tcPr>
          <w:p>
            <w:r>
              <w:rPr>
                <w:rFonts w:ascii="Calibri" w:hAnsi="Calibri"/>
                <w:sz w:val="22"/>
              </w:rPr>
              <w:t>~$1.3B total; CF portion ~$950M (incl. $550M sustaining + ~$400M Blue Point JV &amp; common infra)</w:t>
            </w:r>
          </w:p>
        </w:tc>
        <w:tc>
          <w:tcPr>
            <w:tcW w:type="dxa" w:w="1728"/>
          </w:tcPr>
          <w:p>
            <w:r>
              <w:rPr>
                <w:rFonts w:ascii="Calibri" w:hAnsi="Calibri"/>
                <w:sz w:val="22"/>
              </w:rPr>
              <w:t>Unchanged</w:t>
            </w:r>
          </w:p>
        </w:tc>
        <w:tc>
          <w:tcPr>
            <w:tcW w:type="dxa" w:w="1728"/>
          </w:tcPr>
          <w:p>
            <w:r>
              <w:rPr>
                <w:rFonts w:ascii="Calibri" w:hAnsi="Calibri"/>
                <w:sz w:val="22"/>
              </w:rPr>
              <w:t>N/A — not in VA</w:t>
            </w:r>
          </w:p>
        </w:tc>
        <w:tc>
          <w:tcPr>
            <w:tcW w:type="dxa" w:w="1728"/>
          </w:tcPr>
          <w:p>
            <w:r>
              <w:rPr>
                <w:rFonts w:ascii="Calibri" w:hAnsi="Calibri"/>
                <w:sz w:val="22"/>
              </w:rPr>
              <w:t>Confirmed at BMO conference May 13; no change</w:t>
            </w:r>
          </w:p>
        </w:tc>
      </w:tr>
      <w:tr>
        <w:tc>
          <w:tcPr>
            <w:tcW w:type="dxa" w:w="1728"/>
          </w:tcPr>
          <w:p>
            <w:r>
              <w:rPr>
                <w:rFonts w:ascii="Calibri" w:hAnsi="Calibri"/>
                <w:sz w:val="22"/>
              </w:rPr>
              <w:t>FY2026 Gross Ammonia Production</w:t>
            </w:r>
          </w:p>
        </w:tc>
        <w:tc>
          <w:tcPr>
            <w:tcW w:type="dxa" w:w="1728"/>
          </w:tcPr>
          <w:p>
            <w:r>
              <w:rPr>
                <w:rFonts w:ascii="Calibri" w:hAnsi="Calibri"/>
                <w:sz w:val="22"/>
              </w:rPr>
              <w:t>~9.5M tons (impacted by Yazoo City outage; not expected to resume until late Q4 2026 at earliest)</w:t>
            </w:r>
          </w:p>
        </w:tc>
        <w:tc>
          <w:tcPr>
            <w:tcW w:type="dxa" w:w="1728"/>
          </w:tcPr>
          <w:p>
            <w:r>
              <w:rPr>
                <w:rFonts w:ascii="Calibri" w:hAnsi="Calibri"/>
                <w:sz w:val="22"/>
              </w:rPr>
              <w:t>Unchanged</w:t>
            </w:r>
          </w:p>
        </w:tc>
        <w:tc>
          <w:tcPr>
            <w:tcW w:type="dxa" w:w="1728"/>
          </w:tcPr>
          <w:p>
            <w:r>
              <w:rPr>
                <w:rFonts w:ascii="Calibri" w:hAnsi="Calibri"/>
                <w:sz w:val="22"/>
              </w:rPr>
              <w:t>N/A — not in VA</w:t>
            </w:r>
          </w:p>
        </w:tc>
        <w:tc>
          <w:tcPr>
            <w:tcW w:type="dxa" w:w="1728"/>
          </w:tcPr>
          <w:p>
            <w:r>
              <w:rPr>
                <w:rFonts w:ascii="Calibri" w:hAnsi="Calibri"/>
                <w:sz w:val="22"/>
              </w:rPr>
              <w:t>Yazoo City outage ongoing; no update to production guidance</w:t>
            </w:r>
          </w:p>
        </w:tc>
      </w:tr>
      <w:tr>
        <w:tc>
          <w:tcPr>
            <w:tcW w:type="dxa" w:w="1728"/>
          </w:tcPr>
          <w:p>
            <w:r>
              <w:rPr>
                <w:rFonts w:ascii="Calibri" w:hAnsi="Calibri"/>
                <w:sz w:val="22"/>
              </w:rPr>
              <w:t>India Urea Import Estimate</w:t>
            </w:r>
          </w:p>
        </w:tc>
        <w:tc>
          <w:tcPr>
            <w:tcW w:type="dxa" w:w="1728"/>
          </w:tcPr>
          <w:p>
            <w:r>
              <w:rPr>
                <w:rFonts w:ascii="Calibri" w:hAnsi="Calibri"/>
                <w:sz w:val="22"/>
              </w:rPr>
              <w:t>10–12 million metric tons (Q1 earnings call)</w:t>
            </w:r>
          </w:p>
        </w:tc>
        <w:tc>
          <w:tcPr>
            <w:tcW w:type="dxa" w:w="1728"/>
          </w:tcPr>
          <w:p>
            <w:r>
              <w:rPr>
                <w:rFonts w:ascii="Calibri" w:hAnsi="Calibri"/>
                <w:sz w:val="22"/>
              </w:rPr>
              <w:t>↑ Raised to 10–13 million metric tons at BMO conference May 13</w:t>
            </w:r>
          </w:p>
        </w:tc>
        <w:tc>
          <w:tcPr>
            <w:tcW w:type="dxa" w:w="1728"/>
          </w:tcPr>
          <w:p>
            <w:r>
              <w:rPr>
                <w:rFonts w:ascii="Calibri" w:hAnsi="Calibri"/>
                <w:sz w:val="22"/>
              </w:rPr>
              <w:t>N/A</w:t>
            </w:r>
          </w:p>
        </w:tc>
        <w:tc>
          <w:tcPr>
            <w:tcW w:type="dxa" w:w="1728"/>
          </w:tcPr>
          <w:p>
            <w:r>
              <w:rPr>
                <w:rFonts w:ascii="Calibri" w:hAnsi="Calibri"/>
                <w:sz w:val="22"/>
              </w:rPr>
              <w:t>↑ Raised at BMO Farm to Market Conference May 13, 2026; reflects continued deterioration in Indian domestic production due to LNG shortages</w:t>
            </w:r>
          </w:p>
        </w:tc>
      </w:tr>
      <w:tr>
        <w:tc>
          <w:tcPr>
            <w:tcW w:type="dxa" w:w="1728"/>
          </w:tcPr>
          <w:p>
            <w:r>
              <w:rPr>
                <w:rFonts w:ascii="Calibri" w:hAnsi="Calibri"/>
                <w:sz w:val="22"/>
              </w:rPr>
              <w:t>Nitrogen Pricing Outlook</w:t>
            </w:r>
          </w:p>
        </w:tc>
        <w:tc>
          <w:tcPr>
            <w:tcW w:type="dxa" w:w="1728"/>
          </w:tcPr>
          <w:p>
            <w:r>
              <w:rPr>
                <w:rFonts w:ascii="Calibri" w:hAnsi="Calibri"/>
                <w:sz w:val="22"/>
              </w:rPr>
              <w:t>"Higher than normal for longer"; NOLA ~$600/short ton; offshore $700–$800/MT; North America lowest-priced market globally</w:t>
            </w:r>
          </w:p>
        </w:tc>
        <w:tc>
          <w:tcPr>
            <w:tcW w:type="dxa" w:w="1728"/>
          </w:tcPr>
          <w:p>
            <w:r>
              <w:rPr>
                <w:rFonts w:ascii="Calibri" w:hAnsi="Calibri"/>
                <w:sz w:val="22"/>
              </w:rPr>
              <w:t>Unchanged in direction; prices "quite a bit up in the last week" per Yara Q2 call (July 17)</w:t>
            </w:r>
          </w:p>
        </w:tc>
        <w:tc>
          <w:tcPr>
            <w:tcW w:type="dxa" w:w="1728"/>
          </w:tcPr>
          <w:p>
            <w:r>
              <w:rPr>
                <w:rFonts w:ascii="Calibri" w:hAnsi="Calibri"/>
                <w:sz w:val="22"/>
              </w:rPr>
              <w:t>Urea ASP consensus $592/ton; Ammonia ASP $663/ton</w:t>
            </w:r>
          </w:p>
        </w:tc>
        <w:tc>
          <w:tcPr>
            <w:tcW w:type="dxa" w:w="1728"/>
          </w:tcPr>
          <w:p>
            <w:r>
              <w:rPr>
                <w:rFonts w:ascii="Calibri" w:hAnsi="Calibri"/>
                <w:sz w:val="22"/>
              </w:rPr>
              <w:t>Consistent with bullish tone; no formal revision</w:t>
            </w:r>
          </w:p>
        </w:tc>
      </w:tr>
      <w:tr>
        <w:tc>
          <w:tcPr>
            <w:tcW w:type="dxa" w:w="1728"/>
          </w:tcPr>
          <w:p>
            <w:r>
              <w:rPr>
                <w:rFonts w:ascii="Calibri" w:hAnsi="Calibri"/>
                <w:sz w:val="22"/>
              </w:rPr>
              <w:t>Summer Fill Program</w:t>
            </w:r>
          </w:p>
        </w:tc>
        <w:tc>
          <w:tcPr>
            <w:tcW w:type="dxa" w:w="1728"/>
          </w:tcPr>
          <w:p>
            <w:r>
              <w:rPr>
                <w:rFonts w:ascii="Calibri" w:hAnsi="Calibri"/>
                <w:sz w:val="22"/>
              </w:rPr>
              <w:t>Expected to be a Q3 event; launch communicated ~1 month in advance</w:t>
            </w:r>
          </w:p>
        </w:tc>
        <w:tc>
          <w:tcPr>
            <w:tcW w:type="dxa" w:w="1728"/>
          </w:tcPr>
          <w:p>
            <w:r>
              <w:rPr>
                <w:rFonts w:ascii="Calibri" w:hAnsi="Calibri"/>
                <w:sz w:val="22"/>
              </w:rPr>
              <w:t>↑ Confirmed early August launch at BMO conference; channel expected near-empty by end of June</w:t>
            </w:r>
          </w:p>
        </w:tc>
        <w:tc>
          <w:tcPr>
            <w:tcW w:type="dxa" w:w="1728"/>
          </w:tcPr>
          <w:p>
            <w:r>
              <w:rPr>
                <w:rFonts w:ascii="Calibri" w:hAnsi="Calibri"/>
                <w:sz w:val="22"/>
              </w:rPr>
              <w:t>N/A</w:t>
            </w:r>
          </w:p>
        </w:tc>
        <w:tc>
          <w:tcPr>
            <w:tcW w:type="dxa" w:w="1728"/>
          </w:tcPr>
          <w:p>
            <w:r>
              <w:rPr>
                <w:rFonts w:ascii="Calibri" w:hAnsi="Calibri"/>
                <w:sz w:val="22"/>
              </w:rPr>
              <w:t>↑ More specific timing provided at BMO May 13; "sometime in early August" — incrementally positive</w:t>
            </w:r>
          </w:p>
        </w:tc>
      </w:tr>
      <w:tr>
        <w:tc>
          <w:tcPr>
            <w:tcW w:type="dxa" w:w="1728"/>
          </w:tcPr>
          <w:p>
            <w:r>
              <w:rPr>
                <w:rFonts w:ascii="Calibri" w:hAnsi="Calibri"/>
                <w:sz w:val="22"/>
              </w:rPr>
              <w:t>Share Repurchase</w:t>
            </w:r>
          </w:p>
        </w:tc>
        <w:tc>
          <w:tcPr>
            <w:tcW w:type="dxa" w:w="1728"/>
          </w:tcPr>
          <w:p>
            <w:r>
              <w:rPr>
                <w:rFonts w:ascii="Calibri" w:hAnsi="Calibri"/>
                <w:sz w:val="22"/>
              </w:rPr>
              <w:t>$1.7B remaining on $2B authorization (expires Dec 2029); Q1 pace light (~$15M) due to Iran conflict uncertainty; intention to execute in full</w:t>
            </w:r>
          </w:p>
        </w:tc>
        <w:tc>
          <w:tcPr>
            <w:tcW w:type="dxa" w:w="1728"/>
          </w:tcPr>
          <w:p>
            <w:r>
              <w:rPr>
                <w:rFonts w:ascii="Calibri" w:hAnsi="Calibri"/>
                <w:sz w:val="22"/>
              </w:rPr>
              <w:t>↑ Dividend raised 20% to $0.60/share (announced July 8, 2026; payable Aug 31 to holders of record Aug 14)</w:t>
            </w:r>
          </w:p>
        </w:tc>
        <w:tc>
          <w:tcPr>
            <w:tcW w:type="dxa" w:w="1728"/>
          </w:tcPr>
          <w:p>
            <w:r>
              <w:rPr>
                <w:rFonts w:ascii="Calibri" w:hAnsi="Calibri"/>
                <w:sz w:val="22"/>
              </w:rPr>
              <w:t>N/A</w:t>
            </w:r>
          </w:p>
        </w:tc>
        <w:tc>
          <w:tcPr>
            <w:tcW w:type="dxa" w:w="1728"/>
          </w:tcPr>
          <w:p>
            <w:r>
              <w:rPr>
                <w:rFonts w:ascii="Calibri" w:hAnsi="Calibri"/>
                <w:sz w:val="22"/>
              </w:rPr>
              <w:t>↑ Dividend increase announced via press release July 8, 2026; signals management confidence in cash generation; buyback pace expected to accelerate</w:t>
            </w:r>
          </w:p>
        </w:tc>
      </w:tr>
      <w:tr>
        <w:tc>
          <w:tcPr>
            <w:tcW w:type="dxa" w:w="1728"/>
          </w:tcPr>
          <w:p>
            <w:r>
              <w:rPr>
                <w:rFonts w:ascii="Calibri" w:hAnsi="Calibri"/>
                <w:sz w:val="22"/>
              </w:rPr>
              <w:t>Blue Point Project</w:t>
            </w:r>
          </w:p>
        </w:tc>
        <w:tc>
          <w:tcPr>
            <w:tcW w:type="dxa" w:w="1728"/>
          </w:tcPr>
          <w:p>
            <w:r>
              <w:rPr>
                <w:rFonts w:ascii="Calibri" w:hAnsi="Calibri"/>
                <w:sz w:val="22"/>
              </w:rPr>
              <w:t>Civil construction to commence 2026 pending permits; operational late 2029; adds &gt;1.5M tons gross ammonia capacity</w:t>
            </w:r>
          </w:p>
        </w:tc>
        <w:tc>
          <w:tcPr>
            <w:tcW w:type="dxa" w:w="1728"/>
          </w:tcPr>
          <w:p>
            <w:r>
              <w:rPr>
                <w:rFonts w:ascii="Calibri" w:hAnsi="Calibri"/>
                <w:sz w:val="22"/>
              </w:rPr>
              <w:t>Unchanged; inflation risk on modules dismissed at BMO</w:t>
            </w:r>
          </w:p>
        </w:tc>
        <w:tc>
          <w:tcPr>
            <w:tcW w:type="dxa" w:w="1728"/>
          </w:tcPr>
          <w:p>
            <w:r>
              <w:rPr>
                <w:rFonts w:ascii="Calibri" w:hAnsi="Calibri"/>
                <w:sz w:val="22"/>
              </w:rPr>
              <w:t>N/A</w:t>
            </w:r>
          </w:p>
        </w:tc>
        <w:tc>
          <w:tcPr>
            <w:tcW w:type="dxa" w:w="1728"/>
          </w:tcPr>
          <w:p>
            <w:r>
              <w:rPr>
                <w:rFonts w:ascii="Calibri" w:hAnsi="Calibri"/>
                <w:sz w:val="22"/>
              </w:rPr>
              <w:t>Module sourcing locked in; current activity on groundwork, pilings, bridge infrastructure; no cost escalation risk flagged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sharply higher since the Q1 print — Q2 2026 operating EPS moved from $2.75 to $5.59 (+103%) and FY2026 EPS from $17.00 to $16.47 (a modest -3.1% decline, reflecting the Q1 beat being partially offset by a more conservative H2 view); </w:t>
      </w:r>
      <w:r>
        <w:rPr>
          <w:rFonts w:ascii="Calibri" w:hAnsi="Calibri"/>
          <w:b/>
          <w:color w:val="525866"/>
          <w:sz w:val="22"/>
        </w:rPr>
        <w:t>the gap between the elevated Q2 bar and the conservative FY2026 H2 implied run-rate represents the key risk/opportunity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Q1 Earnings +5 Days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EPS — Diluted Operating (Q2 2026)</w:t>
            </w:r>
          </w:p>
        </w:tc>
        <w:tc>
          <w:tcPr>
            <w:tcW w:type="dxa" w:w="1080"/>
          </w:tcPr>
          <w:p>
            <w:r>
              <w:rPr>
                <w:rFonts w:ascii="Calibri" w:hAnsi="Calibri"/>
                <w:sz w:val="22"/>
              </w:rPr>
              <w:t>$5.68</w:t>
            </w:r>
          </w:p>
        </w:tc>
        <w:tc>
          <w:tcPr>
            <w:tcW w:type="dxa" w:w="1080"/>
          </w:tcPr>
          <w:p>
            <w:r>
              <w:rPr>
                <w:rFonts w:ascii="Calibri" w:hAnsi="Calibri"/>
                <w:sz w:val="22"/>
              </w:rPr>
              <w:t>$5.59</w:t>
            </w:r>
          </w:p>
        </w:tc>
        <w:tc>
          <w:tcPr>
            <w:tcW w:type="dxa" w:w="1080"/>
          </w:tcPr>
          <w:p>
            <w:r>
              <w:rPr>
                <w:rFonts w:ascii="Calibri" w:hAnsi="Calibri"/>
                <w:sz w:val="22"/>
              </w:rPr>
              <w:t>-1.6%</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(Q2 2026)</w:t>
            </w:r>
          </w:p>
        </w:tc>
        <w:tc>
          <w:tcPr>
            <w:tcW w:type="dxa" w:w="1080"/>
          </w:tcPr>
          <w:p>
            <w:r>
              <w:rPr>
                <w:rFonts w:ascii="Calibri" w:hAnsi="Calibri"/>
                <w:sz w:val="22"/>
              </w:rPr>
              <w:t>$2,430M</w:t>
            </w:r>
          </w:p>
        </w:tc>
        <w:tc>
          <w:tcPr>
            <w:tcW w:type="dxa" w:w="1080"/>
          </w:tcPr>
          <w:p>
            <w:r>
              <w:rPr>
                <w:rFonts w:ascii="Calibri" w:hAnsi="Calibri"/>
                <w:sz w:val="22"/>
              </w:rPr>
              <w:t>$2,429M</w:t>
            </w:r>
          </w:p>
        </w:tc>
        <w:tc>
          <w:tcPr>
            <w:tcW w:type="dxa" w:w="1080"/>
          </w:tcPr>
          <w:p>
            <w:r>
              <w:rPr>
                <w:rFonts w:ascii="Calibri" w:hAnsi="Calibri"/>
                <w:sz w:val="22"/>
              </w:rPr>
              <w:t>-0.04%</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(Q2 2026)</w:t>
            </w:r>
          </w:p>
        </w:tc>
        <w:tc>
          <w:tcPr>
            <w:tcW w:type="dxa" w:w="1080"/>
          </w:tcPr>
          <w:p>
            <w:r>
              <w:rPr>
                <w:rFonts w:ascii="Calibri" w:hAnsi="Calibri"/>
                <w:sz w:val="22"/>
              </w:rPr>
              <w:t>$1,391M</w:t>
            </w:r>
          </w:p>
        </w:tc>
        <w:tc>
          <w:tcPr>
            <w:tcW w:type="dxa" w:w="1080"/>
          </w:tcPr>
          <w:p>
            <w:r>
              <w:rPr>
                <w:rFonts w:ascii="Calibri" w:hAnsi="Calibri"/>
                <w:sz w:val="22"/>
              </w:rPr>
              <w:t>$1,348M</w:t>
            </w:r>
          </w:p>
        </w:tc>
        <w:tc>
          <w:tcPr>
            <w:tcW w:type="dxa" w:w="1080"/>
          </w:tcPr>
          <w:p>
            <w:r>
              <w:rPr>
                <w:rFonts w:ascii="Calibri" w:hAnsi="Calibri"/>
                <w:sz w:val="22"/>
              </w:rPr>
              <w:t>-3.1%</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Urea ASP (Q2 2026)</w:t>
            </w:r>
          </w:p>
        </w:tc>
        <w:tc>
          <w:tcPr>
            <w:tcW w:type="dxa" w:w="1080"/>
          </w:tcPr>
          <w:p>
            <w:r>
              <w:rPr>
                <w:rFonts w:ascii="Calibri" w:hAnsi="Calibri"/>
                <w:sz w:val="22"/>
              </w:rPr>
              <w:t>$607/ton</w:t>
            </w:r>
          </w:p>
        </w:tc>
        <w:tc>
          <w:tcPr>
            <w:tcW w:type="dxa" w:w="1080"/>
          </w:tcPr>
          <w:p>
            <w:r>
              <w:rPr>
                <w:rFonts w:ascii="Calibri" w:hAnsi="Calibri"/>
                <w:sz w:val="22"/>
              </w:rPr>
              <w:t>$592/ton</w:t>
            </w:r>
          </w:p>
        </w:tc>
        <w:tc>
          <w:tcPr>
            <w:tcW w:type="dxa" w:w="1080"/>
          </w:tcPr>
          <w:p>
            <w:r>
              <w:rPr>
                <w:rFonts w:ascii="Calibri" w:hAnsi="Calibri"/>
                <w:sz w:val="22"/>
              </w:rPr>
              <w:t>-2.5%</w:t>
            </w:r>
          </w:p>
        </w:tc>
        <w:tc>
          <w:tcPr>
            <w:tcW w:type="dxa" w:w="1080"/>
          </w:tcPr>
          <w:p>
            <w:r>
              <w:rPr>
                <w:rFonts w:ascii="Calibri" w:hAnsi="Calibri"/>
                <w:sz w:val="22"/>
              </w:rPr>
              <w:t>NOLA ~$600/short ton (Q1 call)</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slightly below mgmt commentary</w:t>
            </w:r>
          </w:p>
        </w:tc>
      </w:tr>
      <w:tr>
        <w:tc>
          <w:tcPr>
            <w:tcW w:type="dxa" w:w="1080"/>
          </w:tcPr>
          <w:p>
            <w:r>
              <w:rPr>
                <w:rFonts w:ascii="Calibri" w:hAnsi="Calibri"/>
                <w:sz w:val="22"/>
              </w:rPr>
              <w:t>Ammonia ASP (Q2 2026)</w:t>
            </w:r>
          </w:p>
        </w:tc>
        <w:tc>
          <w:tcPr>
            <w:tcW w:type="dxa" w:w="1080"/>
          </w:tcPr>
          <w:p>
            <w:r>
              <w:rPr>
                <w:rFonts w:ascii="Calibri" w:hAnsi="Calibri"/>
                <w:sz w:val="22"/>
              </w:rPr>
              <w:t>$644/ton</w:t>
            </w:r>
          </w:p>
        </w:tc>
        <w:tc>
          <w:tcPr>
            <w:tcW w:type="dxa" w:w="1080"/>
          </w:tcPr>
          <w:p>
            <w:r>
              <w:rPr>
                <w:rFonts w:ascii="Calibri" w:hAnsi="Calibri"/>
                <w:sz w:val="22"/>
              </w:rPr>
              <w:t>$663/ton</w:t>
            </w:r>
          </w:p>
        </w:tc>
        <w:tc>
          <w:tcPr>
            <w:tcW w:type="dxa" w:w="1080"/>
          </w:tcPr>
          <w:p>
            <w:r>
              <w:rPr>
                <w:rFonts w:ascii="Calibri" w:hAnsi="Calibri"/>
                <w:sz w:val="22"/>
              </w:rPr>
              <w:t>+2.9%</w:t>
            </w:r>
          </w:p>
        </w:tc>
        <w:tc>
          <w:tcPr>
            <w:tcW w:type="dxa" w:w="1080"/>
          </w:tcPr>
          <w:p>
            <w:r>
              <w:rPr>
                <w:rFonts w:ascii="Calibri" w:hAnsi="Calibri"/>
                <w:sz w:val="22"/>
              </w:rPr>
              <w:t>"Higher than normal for longer"</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tracking mgmt tone</w:t>
            </w:r>
          </w:p>
        </w:tc>
      </w:tr>
      <w:tr>
        <w:tc>
          <w:tcPr>
            <w:tcW w:type="dxa" w:w="1080"/>
          </w:tcPr>
          <w:p>
            <w:r>
              <w:rPr>
                <w:rFonts w:ascii="Calibri" w:hAnsi="Calibri"/>
                <w:sz w:val="22"/>
              </w:rPr>
              <w:t>EPS — Diluted Operating (FY2026)</w:t>
            </w:r>
          </w:p>
        </w:tc>
        <w:tc>
          <w:tcPr>
            <w:tcW w:type="dxa" w:w="1080"/>
          </w:tcPr>
          <w:p>
            <w:r>
              <w:rPr>
                <w:rFonts w:ascii="Calibri" w:hAnsi="Calibri"/>
                <w:sz w:val="22"/>
              </w:rPr>
              <w:t>$17.00</w:t>
            </w:r>
          </w:p>
        </w:tc>
        <w:tc>
          <w:tcPr>
            <w:tcW w:type="dxa" w:w="1080"/>
          </w:tcPr>
          <w:p>
            <w:r>
              <w:rPr>
                <w:rFonts w:ascii="Calibri" w:hAnsi="Calibri"/>
                <w:sz w:val="22"/>
              </w:rPr>
              <w:t>$16.47</w:t>
            </w:r>
          </w:p>
        </w:tc>
        <w:tc>
          <w:tcPr>
            <w:tcW w:type="dxa" w:w="1080"/>
          </w:tcPr>
          <w:p>
            <w:r>
              <w:rPr>
                <w:rFonts w:ascii="Calibri" w:hAnsi="Calibri"/>
                <w:sz w:val="22"/>
              </w:rPr>
              <w:t>-3.1%</w:t>
            </w:r>
          </w:p>
        </w:tc>
        <w:tc>
          <w:tcPr>
            <w:tcW w:type="dxa" w:w="1080"/>
          </w:tcPr>
          <w:p>
            <w:r>
              <w:rPr>
                <w:rFonts w:ascii="Calibri" w:hAnsi="Calibri"/>
                <w:sz w:val="22"/>
              </w:rPr>
              <w:t>No formal FY guidance</w:t>
            </w:r>
          </w:p>
        </w:tc>
        <w:tc>
          <w:tcPr>
            <w:tcW w:type="dxa" w:w="1080"/>
          </w:tcPr>
          <w:p>
            <w:r>
              <w:rPr>
                <w:rFonts w:ascii="Calibri" w:hAnsi="Calibri"/>
                <w:sz w:val="22"/>
              </w:rPr>
              <w:t>No formal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(FY2026)</w:t>
            </w:r>
          </w:p>
        </w:tc>
        <w:tc>
          <w:tcPr>
            <w:tcW w:type="dxa" w:w="1080"/>
          </w:tcPr>
          <w:p>
            <w:r>
              <w:rPr>
                <w:rFonts w:ascii="Calibri" w:hAnsi="Calibri"/>
                <w:sz w:val="22"/>
              </w:rPr>
              <w:t>$8,388M</w:t>
            </w:r>
          </w:p>
        </w:tc>
        <w:tc>
          <w:tcPr>
            <w:tcW w:type="dxa" w:w="1080"/>
          </w:tcPr>
          <w:p>
            <w:r>
              <w:rPr>
                <w:rFonts w:ascii="Calibri" w:hAnsi="Calibri"/>
                <w:sz w:val="22"/>
              </w:rPr>
              <w:t>$8,551M</w:t>
            </w:r>
          </w:p>
        </w:tc>
        <w:tc>
          <w:tcPr>
            <w:tcW w:type="dxa" w:w="1080"/>
          </w:tcPr>
          <w:p>
            <w:r>
              <w:rPr>
                <w:rFonts w:ascii="Calibri" w:hAnsi="Calibri"/>
                <w:sz w:val="22"/>
              </w:rPr>
              <w:t>+1.9%</w:t>
            </w:r>
          </w:p>
        </w:tc>
        <w:tc>
          <w:tcPr>
            <w:tcW w:type="dxa" w:w="1080"/>
          </w:tcPr>
          <w:p>
            <w:r>
              <w:rPr>
                <w:rFonts w:ascii="Calibri" w:hAnsi="Calibri"/>
                <w:sz w:val="22"/>
              </w:rPr>
              <w:t>No formal FY guidance</w:t>
            </w:r>
          </w:p>
        </w:tc>
        <w:tc>
          <w:tcPr>
            <w:tcW w:type="dxa" w:w="1080"/>
          </w:tcPr>
          <w:p>
            <w:r>
              <w:rPr>
                <w:rFonts w:ascii="Calibri" w:hAnsi="Calibri"/>
                <w:sz w:val="22"/>
              </w:rPr>
              <w:t>No formal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(FY2026)</w:t>
            </w:r>
          </w:p>
        </w:tc>
        <w:tc>
          <w:tcPr>
            <w:tcW w:type="dxa" w:w="1080"/>
          </w:tcPr>
          <w:p>
            <w:r>
              <w:rPr>
                <w:rFonts w:ascii="Calibri" w:hAnsi="Calibri"/>
                <w:sz w:val="22"/>
              </w:rPr>
              <w:t>$4,384M</w:t>
            </w:r>
          </w:p>
        </w:tc>
        <w:tc>
          <w:tcPr>
            <w:tcW w:type="dxa" w:w="1080"/>
          </w:tcPr>
          <w:p>
            <w:r>
              <w:rPr>
                <w:rFonts w:ascii="Calibri" w:hAnsi="Calibri"/>
                <w:sz w:val="22"/>
              </w:rPr>
              <w:t>$4,239M</w:t>
            </w:r>
          </w:p>
        </w:tc>
        <w:tc>
          <w:tcPr>
            <w:tcW w:type="dxa" w:w="1080"/>
          </w:tcPr>
          <w:p>
            <w:r>
              <w:rPr>
                <w:rFonts w:ascii="Calibri" w:hAnsi="Calibri"/>
                <w:sz w:val="22"/>
              </w:rPr>
              <w:t>-3.3%</w:t>
            </w:r>
          </w:p>
        </w:tc>
        <w:tc>
          <w:tcPr>
            <w:tcW w:type="dxa" w:w="1080"/>
          </w:tcPr>
          <w:p>
            <w:r>
              <w:rPr>
                <w:rFonts w:ascii="Calibri" w:hAnsi="Calibri"/>
                <w:sz w:val="22"/>
              </w:rPr>
              <w:t>No formal FY guidance</w:t>
            </w:r>
          </w:p>
        </w:tc>
        <w:tc>
          <w:tcPr>
            <w:tcW w:type="dxa" w:w="1080"/>
          </w:tcPr>
          <w:p>
            <w:r>
              <w:rPr>
                <w:rFonts w:ascii="Calibri" w:hAnsi="Calibri"/>
                <w:sz w:val="22"/>
              </w:rPr>
              <w:t>No formal FY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Q2 2026 estimate has been remarkably stable since the Q1 print (+5 days baseline), with EBITDA and EPS both drifting only slightly lower (-3%) — suggesting the street has high conviction in the Q2 number. The more interesting dynamic is the FY2026 EBITDA consensus of $4.24B, which implies H2 2026 EBITDA of only ~$2.89B vs. H1's ~$2.33B — a meaningful step-up that depends on the fill program executing at elevated prices. If management provides strong fill-program color on the Q2 call, FY2026 estimates could move higher.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CF's post-Q1 stock performance has been driven primarily by </w:t>
      </w:r>
      <w:r>
        <w:rPr>
          <w:rFonts w:ascii="Calibri" w:hAnsi="Calibri"/>
          <w:b/>
          <w:color w:val="525866"/>
          <w:sz w:val="22"/>
        </w:rPr>
        <w:t>multiple compression rather than earnings growth</w:t>
      </w:r>
      <w:r>
        <w:rPr>
          <w:rFonts w:ascii="Calibri" w:hAnsi="Calibri"/>
          <w:color w:val="525866"/>
          <w:sz w:val="22"/>
        </w:rPr>
        <w:t xml:space="preserve"> — the NTM EV/EBITDA multiple has contracted from ~7.6x six months ago to ~6.4x today even as estimates surged, suggesting the market is discounting the sustainability of the geopolitical premium; the stock is up ~+1.2% vs. the Q1 earnings date close but has significantly underperformed the S&amp;P 500 (+5.1%) and broadly tracked XLB.</w:t>
      </w:r>
    </w:p>
    <w:p>
      <w:r>
        <w:rPr>
          <w:rFonts w:ascii="Calibri" w:hAnsi="Calibri"/>
          <w:b/>
          <w:i/>
          <w:color w:val="525866"/>
          <w:sz w:val="22"/>
        </w:rPr>
        <w:t>Chart: CF vs. XLB (Materials Select Sector SPDR ETF) vs. S&amp;P 500 (SPY) — Indexed to 100 at May 6,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CF (Indexed)</w:t>
            </w:r>
          </w:p>
        </w:tc>
        <w:tc>
          <w:tcPr>
            <w:tcW w:type="dxa" w:w="2160"/>
            <w:shd w:val="clear" w:color="auto" w:fill="3B4259"/>
          </w:tcPr>
          <w:p>
            <w:r>
              <w:rPr>
                <w:rFonts w:ascii="Calibri" w:hAnsi="Calibri"/>
                <w:b/>
                <w:color w:val="FFFFFF"/>
                <w:sz w:val="22"/>
              </w:rPr>
              <w:t>XLB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13, 2026 (BMO Conference)</w:t>
            </w:r>
          </w:p>
        </w:tc>
        <w:tc>
          <w:tcPr>
            <w:tcW w:type="dxa" w:w="2160"/>
          </w:tcPr>
          <w:p>
            <w:r>
              <w:rPr>
                <w:rFonts w:ascii="Calibri" w:hAnsi="Calibri"/>
                <w:sz w:val="22"/>
              </w:rPr>
              <w:t>104.8</w:t>
            </w:r>
          </w:p>
        </w:tc>
        <w:tc>
          <w:tcPr>
            <w:tcW w:type="dxa" w:w="2160"/>
          </w:tcPr>
          <w:p>
            <w:r>
              <w:rPr>
                <w:rFonts w:ascii="Calibri" w:hAnsi="Calibri"/>
                <w:sz w:val="22"/>
              </w:rPr>
              <w:t>99.3</w:t>
            </w:r>
          </w:p>
        </w:tc>
        <w:tc>
          <w:tcPr>
            <w:tcW w:type="dxa" w:w="2160"/>
          </w:tcPr>
          <w:p>
            <w:r>
              <w:rPr>
                <w:rFonts w:ascii="Calibri" w:hAnsi="Calibri"/>
                <w:sz w:val="22"/>
              </w:rPr>
              <w:t>101.1</w:t>
            </w:r>
          </w:p>
        </w:tc>
      </w:tr>
      <w:tr>
        <w:tc>
          <w:tcPr>
            <w:tcW w:type="dxa" w:w="2160"/>
          </w:tcPr>
          <w:p>
            <w:r>
              <w:rPr>
                <w:rFonts w:ascii="Calibri" w:hAnsi="Calibri"/>
                <w:sz w:val="22"/>
              </w:rPr>
              <w:t>May 29, 2026 (Month-end)</w:t>
            </w:r>
          </w:p>
        </w:tc>
        <w:tc>
          <w:tcPr>
            <w:tcW w:type="dxa" w:w="2160"/>
          </w:tcPr>
          <w:p>
            <w:r>
              <w:rPr>
                <w:rFonts w:ascii="Calibri" w:hAnsi="Calibri"/>
                <w:sz w:val="22"/>
              </w:rPr>
              <w:t>93.8</w:t>
            </w:r>
          </w:p>
        </w:tc>
        <w:tc>
          <w:tcPr>
            <w:tcW w:type="dxa" w:w="2160"/>
          </w:tcPr>
          <w:p>
            <w:r>
              <w:rPr>
                <w:rFonts w:ascii="Calibri" w:hAnsi="Calibri"/>
                <w:sz w:val="22"/>
              </w:rPr>
              <w:t>97.6</w:t>
            </w:r>
          </w:p>
        </w:tc>
        <w:tc>
          <w:tcPr>
            <w:tcW w:type="dxa" w:w="2160"/>
          </w:tcPr>
          <w:p>
            <w:r>
              <w:rPr>
                <w:rFonts w:ascii="Calibri" w:hAnsi="Calibri"/>
                <w:sz w:val="22"/>
              </w:rPr>
              <w:t>103.1</w:t>
            </w:r>
          </w:p>
        </w:tc>
      </w:tr>
      <w:tr>
        <w:tc>
          <w:tcPr>
            <w:tcW w:type="dxa" w:w="2160"/>
          </w:tcPr>
          <w:p>
            <w:r>
              <w:rPr>
                <w:rFonts w:ascii="Calibri" w:hAnsi="Calibri"/>
                <w:sz w:val="22"/>
              </w:rPr>
              <w:t>Jun 8, 2026 (Trough)</w:t>
            </w:r>
          </w:p>
        </w:tc>
        <w:tc>
          <w:tcPr>
            <w:tcW w:type="dxa" w:w="2160"/>
          </w:tcPr>
          <w:p>
            <w:r>
              <w:rPr>
                <w:rFonts w:ascii="Calibri" w:hAnsi="Calibri"/>
                <w:sz w:val="22"/>
              </w:rPr>
              <w:t>91.4</w:t>
            </w:r>
          </w:p>
        </w:tc>
        <w:tc>
          <w:tcPr>
            <w:tcW w:type="dxa" w:w="2160"/>
          </w:tcPr>
          <w:p>
            <w:r>
              <w:rPr>
                <w:rFonts w:ascii="Calibri" w:hAnsi="Calibri"/>
                <w:sz w:val="22"/>
              </w:rPr>
              <w:t>95.3</w:t>
            </w:r>
          </w:p>
        </w:tc>
        <w:tc>
          <w:tcPr>
            <w:tcW w:type="dxa" w:w="2160"/>
          </w:tcPr>
          <w:p>
            <w:r>
              <w:rPr>
                <w:rFonts w:ascii="Calibri" w:hAnsi="Calibri"/>
                <w:sz w:val="22"/>
              </w:rPr>
              <w:t>100.7</w:t>
            </w:r>
          </w:p>
        </w:tc>
      </w:tr>
      <w:tr>
        <w:tc>
          <w:tcPr>
            <w:tcW w:type="dxa" w:w="2160"/>
          </w:tcPr>
          <w:p>
            <w:r>
              <w:rPr>
                <w:rFonts w:ascii="Calibri" w:hAnsi="Calibri"/>
                <w:sz w:val="22"/>
              </w:rPr>
              <w:t>Jun 30, 2026 (Quarter-end)</w:t>
            </w:r>
          </w:p>
        </w:tc>
        <w:tc>
          <w:tcPr>
            <w:tcW w:type="dxa" w:w="2160"/>
          </w:tcPr>
          <w:p>
            <w:r>
              <w:rPr>
                <w:rFonts w:ascii="Calibri" w:hAnsi="Calibri"/>
                <w:sz w:val="22"/>
              </w:rPr>
              <w:t>90.4</w:t>
            </w:r>
          </w:p>
        </w:tc>
        <w:tc>
          <w:tcPr>
            <w:tcW w:type="dxa" w:w="2160"/>
          </w:tcPr>
          <w:p>
            <w:r>
              <w:rPr>
                <w:rFonts w:ascii="Calibri" w:hAnsi="Calibri"/>
                <w:sz w:val="22"/>
              </w:rPr>
              <w:t>97.0</w:t>
            </w:r>
          </w:p>
        </w:tc>
        <w:tc>
          <w:tcPr>
            <w:tcW w:type="dxa" w:w="2160"/>
          </w:tcPr>
          <w:p>
            <w:r>
              <w:rPr>
                <w:rFonts w:ascii="Calibri" w:hAnsi="Calibri"/>
                <w:sz w:val="22"/>
              </w:rPr>
              <w:t>101.8</w:t>
            </w:r>
          </w:p>
        </w:tc>
      </w:tr>
      <w:tr>
        <w:tc>
          <w:tcPr>
            <w:tcW w:type="dxa" w:w="2160"/>
          </w:tcPr>
          <w:p>
            <w:r>
              <w:rPr>
                <w:rFonts w:ascii="Calibri" w:hAnsi="Calibri"/>
                <w:sz w:val="22"/>
              </w:rPr>
              <w:t>Jul 8, 2026 (Dividend +20% Announced)</w:t>
            </w:r>
          </w:p>
        </w:tc>
        <w:tc>
          <w:tcPr>
            <w:tcW w:type="dxa" w:w="2160"/>
          </w:tcPr>
          <w:p>
            <w:r>
              <w:rPr>
                <w:rFonts w:ascii="Calibri" w:hAnsi="Calibri"/>
                <w:sz w:val="22"/>
              </w:rPr>
              <w:t>97.7</w:t>
            </w:r>
          </w:p>
        </w:tc>
        <w:tc>
          <w:tcPr>
            <w:tcW w:type="dxa" w:w="2160"/>
          </w:tcPr>
          <w:p>
            <w:r>
              <w:rPr>
                <w:rFonts w:ascii="Calibri" w:hAnsi="Calibri"/>
                <w:sz w:val="22"/>
              </w:rPr>
              <w:t>95.7</w:t>
            </w:r>
          </w:p>
        </w:tc>
        <w:tc>
          <w:tcPr>
            <w:tcW w:type="dxa" w:w="2160"/>
          </w:tcPr>
          <w:p>
            <w:r>
              <w:rPr>
                <w:rFonts w:ascii="Calibri" w:hAnsi="Calibri"/>
                <w:sz w:val="22"/>
              </w:rPr>
              <w:t>101.6</w:t>
            </w:r>
          </w:p>
        </w:tc>
      </w:tr>
      <w:tr>
        <w:tc>
          <w:tcPr>
            <w:tcW w:type="dxa" w:w="2160"/>
          </w:tcPr>
          <w:p>
            <w:r>
              <w:rPr>
                <w:rFonts w:ascii="Calibri" w:hAnsi="Calibri"/>
                <w:sz w:val="22"/>
              </w:rPr>
              <w:t>Jul 22, 2026 (Recent Peak)</w:t>
            </w:r>
          </w:p>
        </w:tc>
        <w:tc>
          <w:tcPr>
            <w:tcW w:type="dxa" w:w="2160"/>
          </w:tcPr>
          <w:p>
            <w:r>
              <w:rPr>
                <w:rFonts w:ascii="Calibri" w:hAnsi="Calibri"/>
                <w:sz w:val="22"/>
              </w:rPr>
              <w:t>106.3</w:t>
            </w:r>
          </w:p>
        </w:tc>
        <w:tc>
          <w:tcPr>
            <w:tcW w:type="dxa" w:w="2160"/>
          </w:tcPr>
          <w:p>
            <w:r>
              <w:rPr>
                <w:rFonts w:ascii="Calibri" w:hAnsi="Calibri"/>
                <w:sz w:val="22"/>
              </w:rPr>
              <w:t>97.0</w:t>
            </w:r>
          </w:p>
        </w:tc>
        <w:tc>
          <w:tcPr>
            <w:tcW w:type="dxa" w:w="2160"/>
          </w:tcPr>
          <w:p>
            <w:r>
              <w:rPr>
                <w:rFonts w:ascii="Calibri" w:hAnsi="Calibri"/>
                <w:sz w:val="22"/>
              </w:rPr>
              <w:t>101.8</w:t>
            </w:r>
          </w:p>
        </w:tc>
      </w:tr>
      <w:tr>
        <w:tc>
          <w:tcPr>
            <w:tcW w:type="dxa" w:w="2160"/>
          </w:tcPr>
          <w:p>
            <w:r>
              <w:rPr>
                <w:rFonts w:ascii="Calibri" w:hAnsi="Calibri"/>
                <w:sz w:val="22"/>
              </w:rPr>
              <w:t>Aug 3, 2026 (Pre-Earnings)</w:t>
            </w:r>
          </w:p>
        </w:tc>
        <w:tc>
          <w:tcPr>
            <w:tcW w:type="dxa" w:w="2160"/>
          </w:tcPr>
          <w:p>
            <w:r>
              <w:rPr>
                <w:rFonts w:ascii="Calibri" w:hAnsi="Calibri"/>
                <w:sz w:val="22"/>
              </w:rPr>
              <w:t>98.8</w:t>
            </w:r>
          </w:p>
        </w:tc>
        <w:tc>
          <w:tcPr>
            <w:tcW w:type="dxa" w:w="2160"/>
          </w:tcPr>
          <w:p>
            <w:r>
              <w:rPr>
                <w:rFonts w:ascii="Calibri" w:hAnsi="Calibri"/>
                <w:sz w:val="22"/>
              </w:rPr>
              <w:t>97.3</w:t>
            </w:r>
          </w:p>
        </w:tc>
        <w:tc>
          <w:tcPr>
            <w:tcW w:type="dxa" w:w="2160"/>
          </w:tcPr>
          <w:p>
            <w:r>
              <w:rPr>
                <w:rFonts w:ascii="Calibri" w:hAnsi="Calibri"/>
                <w:sz w:val="22"/>
              </w:rPr>
              <w:t>103.2</w:t>
            </w:r>
          </w:p>
        </w:tc>
      </w:tr>
    </w:tbl>
    <w:p>
      <w:r>
        <w:rPr>
          <w:rFonts w:ascii="Calibri" w:hAnsi="Calibri"/>
          <w:b/>
          <w:color w:val="525866"/>
          <w:sz w:val="22"/>
        </w:rPr>
        <w:t xml:space="preserve">Note: </w:t>
      </w:r>
      <w:r>
        <w:rPr>
          <w:rFonts w:ascii="Calibri" w:hAnsi="Calibri"/>
          <w:color w:val="525866"/>
          <w:sz w:val="22"/>
        </w:rPr>
        <w:t>Indexed to 100 at May 6, 2026 close (CF: $119.76, XLB: $52.41, SPY: $733.83). XLB (Materials Select Sector SPDR ETF) is the appropriate sector benchmark for CF as a large-cap materials/chemicals producer. CF has underperformed both XLB and SPY since the Q1 earnings date, with the stock declining from its post-earnings peak of ~$130 (May 12) to ~$118 ahead of the Q2 print. The NTM EV/EBITDA multiple has compressed from ~7.6x (6 months ago) to ~6.4x currently, suggesting the market is pricing in mean-reversion in nitrogen prices rather than a sustained geopolitical premium.</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 (Since Q1 Earnings, May 6, 2026)</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20% dividend increase announced July 8</w:t>
      </w:r>
      <w:r>
        <w:rPr>
          <w:rFonts w:ascii="Calibri" w:hAnsi="Calibri"/>
          <w:color w:val="525866"/>
          <w:sz w:val="22"/>
        </w:rPr>
        <w:t>, which signals management's high confidence in sustained free cash flow generation and is a direct positive for the Q2 print; the ongoing Iran conflict and Strait of Hormuz supply disruption remain the dominant macro driver for nitrogen pricing.</w:t>
      </w:r>
    </w:p>
    <w:p>
      <w:pPr>
        <w:pStyle w:val="ListBullet"/>
        <w:ind w:left="360" w:hanging="360"/>
      </w:pPr>
      <w:r>
        <w:rPr>
          <w:rFonts w:ascii="Calibri" w:hAnsi="Calibri"/>
          <w:b/>
          <w:color w:val="525866"/>
          <w:sz w:val="22"/>
        </w:rPr>
        <w:t>July 8, 2026 — CF Industries announces 20% increase in quarterly dividend to $0.60/share</w:t>
      </w:r>
      <w:r>
        <w:rPr>
          <w:rFonts w:ascii="Calibri" w:hAnsi="Calibri"/>
          <w:color w:val="525866"/>
          <w:sz w:val="22"/>
        </w:rPr>
        <w:t xml:space="preserve"> (from $0.50/share), payable August 31, 2026 to stockholders of record August 14, 2026. Simultaneously confirmed Q2 2026 earnings release after market close August 5 and conference call August 6 at 11:00 a.m. ET. </w:t>
      </w:r>
      <w:r>
        <w:rPr>
          <w:rFonts w:ascii="Calibri" w:hAnsi="Calibri"/>
          <w:i/>
          <w:color w:val="525866"/>
          <w:sz w:val="22"/>
        </w:rPr>
        <w:t xml:space="preserve">Implication: </w:t>
      </w:r>
      <w:r>
        <w:rPr>
          <w:rFonts w:ascii="Calibri" w:hAnsi="Calibri"/>
          <w:i/>
          <w:color w:val="525866"/>
          <w:sz w:val="22"/>
        </w:rPr>
        <w:t>A 20% dividend raise signals management's conviction that elevated free cash flow is durable, not a one-quarter event; incrementally positive for the print and for buyback pace expectations.</w:t>
      </w:r>
    </w:p>
    <w:p>
      <w:pPr>
        <w:pStyle w:val="ListBullet"/>
        <w:ind w:left="360" w:hanging="360"/>
      </w:pPr>
      <w:r>
        <w:rPr>
          <w:rFonts w:ascii="Calibri" w:hAnsi="Calibri"/>
          <w:b/>
          <w:color w:val="525866"/>
          <w:sz w:val="22"/>
        </w:rPr>
        <w:t>May 13, 2026 — BMO Capital Markets Global Farm to Market Conference (Bert Frost, EVP &amp; CCO)</w:t>
      </w:r>
      <w:r>
        <w:rPr>
          <w:rFonts w:ascii="Calibri" w:hAnsi="Calibri"/>
          <w:color w:val="525866"/>
          <w:sz w:val="22"/>
        </w:rPr>
        <w:t xml:space="preserve">: Management raised India urea import estimate to 10–13 million metric tons (vs. 10–12M at Q1 call), confirmed fill program launch in early August with channel expected near-empty by end of June, dismissed Blue Point module inflation risk (sourcing locked in), and described North America as the world's lowest-priced nitrogen market at ~$600/short ton vs. offshore $700–$800/MT. </w:t>
      </w:r>
      <w:r>
        <w:rPr>
          <w:rFonts w:ascii="Calibri" w:hAnsi="Calibri"/>
          <w:i/>
          <w:color w:val="525866"/>
          <w:sz w:val="22"/>
        </w:rPr>
        <w:t xml:space="preserve">Implication: </w:t>
      </w:r>
      <w:r>
        <w:rPr>
          <w:rFonts w:ascii="Calibri" w:hAnsi="Calibri"/>
          <w:i/>
          <w:color w:val="525866"/>
          <w:sz w:val="22"/>
        </w:rPr>
        <w:t>Incrementally bullish on supply tightness and fill-program setup; confirms Q3 will be the key earnings catalyst.</w:t>
      </w:r>
    </w:p>
    <w:p>
      <w:pPr>
        <w:pStyle w:val="ListBullet"/>
        <w:ind w:left="360" w:hanging="360"/>
      </w:pPr>
      <w:r>
        <w:rPr>
          <w:rFonts w:ascii="Calibri" w:hAnsi="Calibri"/>
          <w:b/>
          <w:color w:val="525866"/>
          <w:sz w:val="22"/>
        </w:rPr>
        <w:t>May 5–6, 2026 — CFO transition: Andrew Scribner appointed as new CFO</w:t>
      </w:r>
      <w:r>
        <w:rPr>
          <w:rFonts w:ascii="Calibri" w:hAnsi="Calibri"/>
          <w:color w:val="525866"/>
          <w:sz w:val="22"/>
        </w:rPr>
        <w:t xml:space="preserve"> (8-K filed May 5, 2026). Compensation details disclosed. </w:t>
      </w:r>
      <w:r>
        <w:rPr>
          <w:rFonts w:ascii="Calibri" w:hAnsi="Calibri"/>
          <w:i/>
          <w:color w:val="525866"/>
          <w:sz w:val="22"/>
        </w:rPr>
        <w:t xml:space="preserve">Implication: </w:t>
      </w:r>
      <w:r>
        <w:rPr>
          <w:rFonts w:ascii="Calibri" w:hAnsi="Calibri"/>
          <w:i/>
          <w:color w:val="525866"/>
          <w:sz w:val="22"/>
        </w:rPr>
        <w:t>Leadership change at CFO level warrants monitoring for any shift in capital allocation tone, though management's overall messaging has been consistent.</w:t>
      </w:r>
    </w:p>
    <w:p>
      <w:pPr>
        <w:pStyle w:val="ListBullet"/>
        <w:ind w:left="360" w:hanging="360"/>
      </w:pPr>
      <w:r>
        <w:rPr>
          <w:rFonts w:ascii="Calibri" w:hAnsi="Calibri"/>
          <w:b/>
          <w:color w:val="525866"/>
          <w:sz w:val="22"/>
        </w:rPr>
        <w:t>May 6, 2026 — Q1 2026 earnings: Adjusted EBITDA $983M vs. consensus $784M (+25.4% beat)</w:t>
      </w:r>
      <w:r>
        <w:rPr>
          <w:rFonts w:ascii="Calibri" w:hAnsi="Calibri"/>
          <w:color w:val="525866"/>
          <w:sz w:val="22"/>
        </w:rPr>
        <w:t xml:space="preserve">; EPS $3.98 vs. $2.75 consensus (+44.7% beat); net sales $1.99B vs. $1.84B consensus. Results included ~$170M litigation settlement gain (Orica/Nelson Brothers) received in April (Q2 cash flow). Stock declined sharply on the day despite the large beat, suggesting the geopolitical tailwind was priced in. </w:t>
      </w:r>
      <w:r>
        <w:rPr>
          <w:rFonts w:ascii="Calibri" w:hAnsi="Calibri"/>
          <w:i/>
          <w:color w:val="525866"/>
          <w:sz w:val="22"/>
        </w:rPr>
        <w:t xml:space="preserve">Implication: </w:t>
      </w:r>
      <w:r>
        <w:rPr>
          <w:rFonts w:ascii="Calibri" w:hAnsi="Calibri"/>
          <w:i/>
          <w:color w:val="525866"/>
          <w:sz w:val="22"/>
        </w:rPr>
        <w:t>The Q1 beat sets a high bar for Q2; the market's negative reaction to a large beat is a cautionary signal about how much good news is already in the stock.</w:t>
      </w:r>
    </w:p>
    <w:p>
      <w:pPr>
        <w:pStyle w:val="ListBullet"/>
        <w:ind w:left="360" w:hanging="360"/>
      </w:pPr>
      <w:r>
        <w:rPr>
          <w:rFonts w:ascii="Calibri" w:hAnsi="Calibri"/>
          <w:b/>
          <w:color w:val="525866"/>
          <w:sz w:val="22"/>
        </w:rPr>
        <w:t>Ongoing — Iran conflict and Strait of Hormuz closure</w:t>
      </w:r>
      <w:r>
        <w:rPr>
          <w:rFonts w:ascii="Calibri" w:hAnsi="Calibri"/>
          <w:color w:val="525866"/>
          <w:sz w:val="22"/>
        </w:rPr>
        <w:t xml:space="preserve">: The conflict that began late Q1 has continued through Q2, removing millions of tons of nitrogen supply from global markets. Egypt imposed a $90/MT duty on nitrogen fertilizer exports. Russia maintained export restrictions. China expected to begin limited urea exports later in Q2 but volumes unlikely to fully offset lost Middle Eastern supply. </w:t>
      </w:r>
      <w:r>
        <w:rPr>
          <w:rFonts w:ascii="Calibri" w:hAnsi="Calibri"/>
          <w:i/>
          <w:color w:val="525866"/>
          <w:sz w:val="22"/>
        </w:rPr>
        <w:t xml:space="preserve">Implication: </w:t>
      </w:r>
      <w:r>
        <w:rPr>
          <w:rFonts w:ascii="Calibri" w:hAnsi="Calibri"/>
          <w:i/>
          <w:color w:val="525866"/>
          <w:sz w:val="22"/>
        </w:rPr>
        <w:t>Structural supply tightness is the primary driver of elevated nitrogen pricing; any ceasefire or supply normalization is the key downside risk.</w:t>
      </w:r>
    </w:p>
    <w:p>
      <w:pPr>
        <w:pStyle w:val="ListBullet"/>
        <w:ind w:left="360" w:hanging="360"/>
      </w:pPr>
      <w:r>
        <w:rPr>
          <w:rFonts w:ascii="Calibri" w:hAnsi="Calibri"/>
          <w:b/>
          <w:color w:val="525866"/>
          <w:sz w:val="22"/>
        </w:rPr>
        <w:t>Ongoing — Yazoo City, Mississippi Complex outage</w:t>
      </w:r>
      <w:r>
        <w:rPr>
          <w:rFonts w:ascii="Calibri" w:hAnsi="Calibri"/>
          <w:color w:val="525866"/>
          <w:sz w:val="22"/>
        </w:rPr>
        <w:t xml:space="preserve">: Facility offline following a November 2025 incident; production not expected to resume until late Q4 2026 at earliest pending fabrication and delivery of required equipment. Reduces FY2026 gross ammonia production guidance to ~9.5M tons. </w:t>
      </w:r>
      <w:r>
        <w:rPr>
          <w:rFonts w:ascii="Calibri" w:hAnsi="Calibri"/>
          <w:i/>
          <w:color w:val="525866"/>
          <w:sz w:val="22"/>
        </w:rPr>
        <w:t xml:space="preserve">Implication: </w:t>
      </w:r>
      <w:r>
        <w:rPr>
          <w:rFonts w:ascii="Calibri" w:hAnsi="Calibri"/>
          <w:i/>
          <w:color w:val="525866"/>
          <w:sz w:val="22"/>
        </w:rPr>
        <w:t>Constrains AN and DEF volumes in Q2; partially offset by product mix shift toward urea and ammonia.</w:t>
      </w:r>
    </w:p>
    <w:p>
      <w:pPr>
        <w:pStyle w:val="ListBullet"/>
        <w:ind w:left="360" w:hanging="360"/>
      </w:pPr>
      <w:r>
        <w:rPr>
          <w:rFonts w:ascii="Calibri" w:hAnsi="Calibri"/>
          <w:b/>
          <w:color w:val="525866"/>
          <w:sz w:val="22"/>
        </w:rPr>
        <w:t>Ongoing — Blue Point low-carbon ammonia project</w:t>
      </w:r>
      <w:r>
        <w:rPr>
          <w:rFonts w:ascii="Calibri" w:hAnsi="Calibri"/>
          <w:color w:val="525866"/>
          <w:sz w:val="22"/>
        </w:rPr>
        <w:t xml:space="preserve">: Civil construction expected to commence in 2026 pending permits; basic site infrastructure (groundwork, pilings, bridge) already underway. JV with JERA (35%) and Mitsui (25%); CF holds 40%. Adds &gt;1.5M tons gross ammonia capacity when operational in late 2029. 45Q tax credits from Donaldsonville CCS generating ~$100M annually. </w:t>
      </w:r>
      <w:r>
        <w:rPr>
          <w:rFonts w:ascii="Calibri" w:hAnsi="Calibri"/>
          <w:i/>
          <w:color w:val="525866"/>
          <w:sz w:val="22"/>
        </w:rPr>
        <w:t xml:space="preserve">Implication: </w:t>
      </w:r>
      <w:r>
        <w:rPr>
          <w:rFonts w:ascii="Calibri" w:hAnsi="Calibri"/>
          <w:i/>
          <w:color w:val="525866"/>
          <w:sz w:val="22"/>
        </w:rPr>
        <w:t>Long-term value creation catalyst; near-term focus is on permit receipt and construction commencement confirmation.</w:t>
      </w:r>
    </w:p>
    <w:p>
      <w:r>
        <w:br w:type="page"/>
      </w:r>
    </w:p>
    <w:p>
      <w:pPr>
        <w:pStyle w:val="Heading2"/>
      </w:pPr>
      <w:r>
        <w:rPr>
          <w:rFonts w:ascii="Calibri" w:hAnsi="Calibri"/>
          <w:b/>
          <w:color w:val="3B4259"/>
          <w:sz w:val="28"/>
        </w:rPr>
        <w:t>7. Peer Commentaries — Current-Quarter Read-Throughs (June 5 – August 4, 2026)</w:t>
      </w:r>
    </w:p>
    <w:p>
      <w:r>
        <w:rPr>
          <w:rFonts w:ascii="Calibri" w:hAnsi="Calibri"/>
          <w:b/>
          <w:color w:val="525866"/>
          <w:sz w:val="22"/>
        </w:rPr>
        <w:t xml:space="preserve">Key Takeaway: </w:t>
      </w:r>
      <w:r>
        <w:rPr>
          <w:rFonts w:ascii="Calibri" w:hAnsi="Calibri"/>
          <w:color w:val="525866"/>
          <w:sz w:val="22"/>
        </w:rPr>
        <w:t xml:space="preserve">Peer commentary from the current reporting window is </w:t>
      </w:r>
      <w:r>
        <w:rPr>
          <w:rFonts w:ascii="Calibri" w:hAnsi="Calibri"/>
          <w:b/>
          <w:color w:val="525866"/>
          <w:sz w:val="22"/>
        </w:rPr>
        <w:t>broadly constructive for CF's Q2 print</w:t>
      </w:r>
      <w:r>
        <w:rPr>
          <w:rFonts w:ascii="Calibri" w:hAnsi="Calibri"/>
          <w:color w:val="525866"/>
          <w:sz w:val="22"/>
        </w:rPr>
        <w:t xml:space="preserve">: Yara's Q2 call (July 17) confirmed elevated nitrogen pricing driven by the Middle East supply shock, with prices "quite a bit up in the last week" and demand picking up into Q3; LyondellBasell's Q2 beat (July 31) cited geopolitical supply chain tailwinds from the Iran war; and Mosaic's Q2 data (August 4) shows ammonia input costs of $621–$815/ton, confirming the elevated nitrogen price environment. The key nuance from Yara is that </w:t>
      </w:r>
      <w:r>
        <w:rPr>
          <w:rFonts w:ascii="Calibri" w:hAnsi="Calibri"/>
          <w:b/>
          <w:color w:val="525866"/>
          <w:sz w:val="22"/>
        </w:rPr>
        <w:t>demand was softer than expected in Q2 due to buyer hesitation at peak prices</w:t>
      </w:r>
      <w:r>
        <w:rPr>
          <w:rFonts w:ascii="Calibri" w:hAnsi="Calibri"/>
          <w:color w:val="525866"/>
          <w:sz w:val="22"/>
        </w:rPr>
        <w:t>, which could weigh on CF's Q2 volumes even as pricing was strong.</w:t>
      </w:r>
    </w:p>
    <w:p>
      <w:r>
        <w:rPr>
          <w:rFonts w:ascii="Calibri" w:hAnsi="Calibri"/>
          <w:b/>
          <w:color w:val="525866"/>
          <w:sz w:val="22"/>
        </w:rPr>
        <w:t xml:space="preserve">Methodology Note: </w:t>
      </w:r>
      <w:r>
        <w:rPr>
          <w:rFonts w:ascii="Calibri" w:hAnsi="Calibri"/>
          <w:i/>
          <w:color w:val="525866"/>
          <w:sz w:val="22"/>
        </w:rPr>
        <w:t>Only commentary dated June 5–August 4, 2026 that addresses the current Q2/June-quarter market or subsequent current-quarter outlook is included below. Prior-quarter results commentary (e.g., Q1 2026 results discussed on Q1 earnings calls) is excluded. Direct nitrogen read-throughs are clearly distinguished from indirect phosphate/potash context.</w:t>
      </w:r>
    </w:p>
    <w:p>
      <w:pPr>
        <w:pStyle w:val="Heading3"/>
      </w:pPr>
      <w:r>
        <w:rPr>
          <w:rFonts w:ascii="Calibri" w:hAnsi="Calibri"/>
          <w:b/>
          <w:color w:val="3B4259"/>
          <w:sz w:val="24"/>
        </w:rPr>
        <w:t>A. Direct Nitrogen Read-Throughs</w:t>
      </w:r>
    </w:p>
    <w:p>
      <w:pPr>
        <w:pStyle w:val="Heading4"/>
      </w:pPr>
      <w:r>
        <w:rPr>
          <w:rFonts w:ascii="Calibri" w:hAnsi="Calibri"/>
          <w:b/>
          <w:color w:val="3B4259"/>
          <w:sz w:val="22"/>
        </w:rPr>
        <w:t>Yara International (YAR NO) — Q2 2026 Earnings Call, July 17, 2026</w:t>
      </w:r>
    </w:p>
    <w:p>
      <w:r>
        <w:rPr>
          <w:rFonts w:ascii="Calibri" w:hAnsi="Calibri"/>
          <w:b/>
          <w:color w:val="525866"/>
          <w:sz w:val="22"/>
        </w:rPr>
        <w:t xml:space="preserve">Relevance: </w:t>
      </w:r>
      <w:r>
        <w:rPr>
          <w:rFonts w:ascii="Calibri" w:hAnsi="Calibri"/>
          <w:color w:val="525866"/>
          <w:sz w:val="22"/>
        </w:rPr>
        <w:t>Yara is the world's largest nitrogen fertilizer producer and the most direct read-through for CF's nitrogen pricing, demand, and volume dynamics.</w:t>
      </w:r>
    </w:p>
    <w:p>
      <w:pPr>
        <w:pStyle w:val="ListBullet"/>
        <w:ind w:left="360" w:hanging="360"/>
      </w:pPr>
      <w:r>
        <w:rPr>
          <w:rFonts w:ascii="Calibri" w:hAnsi="Calibri"/>
          <w:b/>
          <w:color w:val="525866"/>
          <w:sz w:val="22"/>
        </w:rPr>
        <w:t xml:space="preserve">Nitrogen pricing: </w:t>
      </w:r>
      <w:r>
        <w:rPr>
          <w:rFonts w:ascii="Calibri" w:hAnsi="Calibri"/>
          <w:color w:val="525866"/>
          <w:sz w:val="22"/>
        </w:rPr>
        <w:t xml:space="preserve">"More volatility on pricing" during Q2, with prices initially at the highest levels before becoming "more normalized" mid-quarter. However, as of the July 17 call, "the situation in the Middle East — the prices are quite, quite a bit up in the last week." This suggests Q2 average realized prices may have been below the peak but that the exit rate into Q3 is re-accelerating. </w:t>
      </w:r>
      <w:r>
        <w:rPr>
          <w:rFonts w:ascii="Calibri" w:hAnsi="Calibri"/>
          <w:i/>
          <w:color w:val="525866"/>
          <w:sz w:val="22"/>
        </w:rPr>
        <w:t xml:space="preserve">Read-through for CF: </w:t>
      </w:r>
      <w:r>
        <w:rPr>
          <w:rFonts w:ascii="Calibri" w:hAnsi="Calibri"/>
          <w:i/>
          <w:color w:val="525866"/>
          <w:sz w:val="22"/>
        </w:rPr>
        <w:t>Q2 realized urea/ammonia ASPs may come in at or slightly below the consensus estimates of $592/ton and $663/ton respectively, but the Q3 pricing setup is strengthening.</w:t>
      </w:r>
    </w:p>
    <w:p>
      <w:pPr>
        <w:pStyle w:val="ListBullet"/>
        <w:ind w:left="360" w:hanging="360"/>
      </w:pPr>
      <w:r>
        <w:rPr>
          <w:rFonts w:ascii="Calibri" w:hAnsi="Calibri"/>
          <w:b/>
          <w:color w:val="525866"/>
          <w:sz w:val="22"/>
        </w:rPr>
        <w:t xml:space="preserve">Demand deferral — key risk: </w:t>
      </w:r>
      <w:r>
        <w:rPr>
          <w:rFonts w:ascii="Calibri" w:hAnsi="Calibri"/>
          <w:color w:val="525866"/>
          <w:sz w:val="22"/>
        </w:rPr>
        <w:t xml:space="preserve">"Customers in the northern hemisphere didn't have an immediate need to buy … there was hesitation." Yara noted "demand has been more soft" and "deferral is a term that has often been used." Brazil imported 23% less nitrogen YTD through June vs. prior year; EU imported 25% less urea during the season. Yara's deliveries were "down 17%" YoY. </w:t>
      </w:r>
      <w:r>
        <w:rPr>
          <w:rFonts w:ascii="Calibri" w:hAnsi="Calibri"/>
          <w:i/>
          <w:color w:val="525866"/>
          <w:sz w:val="22"/>
        </w:rPr>
        <w:t xml:space="preserve">Read-through for CF: </w:t>
      </w:r>
      <w:r>
        <w:rPr>
          <w:rFonts w:ascii="Calibri" w:hAnsi="Calibri"/>
          <w:i/>
          <w:color w:val="525866"/>
          <w:sz w:val="22"/>
        </w:rPr>
        <w:t>Volume risk is real — CF's Q2 ammonia volume consensus of 1,033 Ktons (vs. 1,087 Ktons in Q2 2025) may still be at risk if North American buyers also deferred purchases at elevated prices.</w:t>
      </w:r>
    </w:p>
    <w:p>
      <w:pPr>
        <w:pStyle w:val="ListBullet"/>
        <w:ind w:left="360" w:hanging="360"/>
      </w:pPr>
      <w:r>
        <w:rPr>
          <w:rFonts w:ascii="Calibri" w:hAnsi="Calibri"/>
          <w:b/>
          <w:color w:val="525866"/>
          <w:sz w:val="22"/>
        </w:rPr>
        <w:t xml:space="preserve">Supply disruptions confirmed: </w:t>
      </w:r>
      <w:r>
        <w:rPr>
          <w:rFonts w:ascii="Calibri" w:hAnsi="Calibri"/>
          <w:color w:val="525866"/>
          <w:sz w:val="22"/>
        </w:rPr>
        <w:t xml:space="preserve">"Disruptions in the Arab Gulf happened and the supply was lost." India paid $930/MT ("significantly above market price") for 2.5 million tons in an emergency tender. Yara's Pilbara facility had an unplanned outage through June and will be offline for a planned turnaround "for a month or so in Q3." </w:t>
      </w:r>
      <w:r>
        <w:rPr>
          <w:rFonts w:ascii="Calibri" w:hAnsi="Calibri"/>
          <w:i/>
          <w:color w:val="525866"/>
          <w:sz w:val="22"/>
        </w:rPr>
        <w:t xml:space="preserve">Read-through for CF: </w:t>
      </w:r>
      <w:r>
        <w:rPr>
          <w:rFonts w:ascii="Calibri" w:hAnsi="Calibri"/>
          <w:i/>
          <w:color w:val="525866"/>
          <w:sz w:val="22"/>
        </w:rPr>
        <w:t>Global supply remains structurally short; CF's North American production base is advantaged as a reliable, low-risk supplier.</w:t>
      </w:r>
    </w:p>
    <w:p>
      <w:pPr>
        <w:pStyle w:val="ListBullet"/>
        <w:ind w:left="360" w:hanging="360"/>
      </w:pPr>
      <w:r>
        <w:rPr>
          <w:rFonts w:ascii="Calibri" w:hAnsi="Calibri"/>
          <w:b/>
          <w:color w:val="525866"/>
          <w:sz w:val="22"/>
        </w:rPr>
        <w:t xml:space="preserve">Demand recovery into Q3: </w:t>
      </w:r>
      <w:r>
        <w:rPr>
          <w:rFonts w:ascii="Calibri" w:hAnsi="Calibri"/>
          <w:color w:val="525866"/>
          <w:sz w:val="22"/>
        </w:rPr>
        <w:t xml:space="preserve">"Over the past week, we have seen a pick up … the most notable was Europe." Brazil is "now coming into peak season … logical to expect a pickup." USDA reduced inventory projections in its July report. Corn crop concerns in Europe (acreage sharply down in France; heat wave affecting crop progress). </w:t>
      </w:r>
      <w:r>
        <w:rPr>
          <w:rFonts w:ascii="Calibri" w:hAnsi="Calibri"/>
          <w:i/>
          <w:color w:val="525866"/>
          <w:sz w:val="22"/>
        </w:rPr>
        <w:t xml:space="preserve">Read-through for CF: </w:t>
      </w:r>
      <w:r>
        <w:rPr>
          <w:rFonts w:ascii="Calibri" w:hAnsi="Calibri"/>
          <w:i/>
          <w:color w:val="525866"/>
          <w:sz w:val="22"/>
        </w:rPr>
        <w:t>Constructive for CF's fill-program pricing and Q3 volumes; management's early-August fill launch timing aligns with Yara's observation of demand picking up.</w:t>
      </w:r>
    </w:p>
    <w:p>
      <w:pPr>
        <w:pStyle w:val="ListBullet"/>
        <w:ind w:left="360" w:hanging="360"/>
      </w:pPr>
      <w:r>
        <w:rPr>
          <w:rFonts w:ascii="Calibri" w:hAnsi="Calibri"/>
          <w:b/>
          <w:color w:val="525866"/>
          <w:sz w:val="22"/>
        </w:rPr>
        <w:t xml:space="preserve">European gas costs: </w:t>
      </w:r>
      <w:r>
        <w:rPr>
          <w:rFonts w:ascii="Calibri" w:hAnsi="Calibri"/>
          <w:color w:val="525866"/>
          <w:sz w:val="22"/>
        </w:rPr>
        <w:t xml:space="preserve">Yara's Q2 average gas cost was $12/MMBtu, guiding Q3 to ~$11/MMBtu. </w:t>
      </w:r>
      <w:r>
        <w:rPr>
          <w:rFonts w:ascii="Calibri" w:hAnsi="Calibri"/>
          <w:i/>
          <w:color w:val="525866"/>
          <w:sz w:val="22"/>
        </w:rPr>
        <w:t xml:space="preserve">Read-through for CF: </w:t>
      </w:r>
      <w:r>
        <w:rPr>
          <w:rFonts w:ascii="Calibri" w:hAnsi="Calibri"/>
          <w:i/>
          <w:color w:val="525866"/>
          <w:sz w:val="22"/>
        </w:rPr>
        <w:t>CF's North American gas cost of ~$2.60/MMBtu (NYMEX strip at Q1 call) represents a massive structural cost advantage vs. European producers, supporting CF's competitive position and margin.</w:t>
      </w:r>
    </w:p>
    <w:p>
      <w:pPr>
        <w:pStyle w:val="ListBullet"/>
        <w:ind w:left="360" w:hanging="360"/>
      </w:pPr>
      <w:r>
        <w:rPr>
          <w:rFonts w:ascii="Calibri" w:hAnsi="Calibri"/>
          <w:b/>
          <w:color w:val="525866"/>
          <w:sz w:val="22"/>
        </w:rPr>
        <w:t xml:space="preserve">El Niño risk: </w:t>
      </w:r>
      <w:r>
        <w:rPr>
          <w:rFonts w:ascii="Calibri" w:hAnsi="Calibri"/>
          <w:color w:val="525866"/>
          <w:sz w:val="22"/>
        </w:rPr>
        <w:t xml:space="preserve">Yara noted "concerns in part of the world, including Australia, Southeast Asia, India" but said it's "hard to find a very strong link between an El Nino and global production." Grain prices "are not through the roof" but "have improved quite a bit over the last week or two." </w:t>
      </w:r>
      <w:r>
        <w:rPr>
          <w:rFonts w:ascii="Calibri" w:hAnsi="Calibri"/>
          <w:i/>
          <w:color w:val="525866"/>
          <w:sz w:val="22"/>
        </w:rPr>
        <w:t xml:space="preserve">Read-through for CF: </w:t>
      </w:r>
      <w:r>
        <w:rPr>
          <w:rFonts w:ascii="Calibri" w:hAnsi="Calibri"/>
          <w:i/>
          <w:color w:val="525866"/>
          <w:sz w:val="22"/>
        </w:rPr>
        <w:t>Consistent with CF management's May 13 commentary flagging El Niño as a risk factor for H2 2026; not yet a confirmed headwind.</w:t>
      </w:r>
    </w:p>
    <w:p>
      <w:pPr>
        <w:pStyle w:val="Heading4"/>
      </w:pPr>
      <w:r>
        <w:rPr>
          <w:rFonts w:ascii="Calibri" w:hAnsi="Calibri"/>
          <w:b/>
          <w:color w:val="3B4259"/>
          <w:sz w:val="22"/>
        </w:rPr>
        <w:t>Mosaic Company (MOS) — Q2 2026 Earnings Release, August 4, 2026</w:t>
      </w:r>
    </w:p>
    <w:p>
      <w:r>
        <w:rPr>
          <w:rFonts w:ascii="Calibri" w:hAnsi="Calibri"/>
          <w:b/>
          <w:color w:val="525866"/>
          <w:sz w:val="22"/>
        </w:rPr>
        <w:t xml:space="preserve">Relevance: </w:t>
      </w:r>
      <w:r>
        <w:rPr>
          <w:rFonts w:ascii="Calibri" w:hAnsi="Calibri"/>
          <w:color w:val="525866"/>
          <w:sz w:val="22"/>
        </w:rPr>
        <w:t>Mosaic is a major phosphate and potash producer; its ammonia input costs provide a direct market data point for nitrogen pricing in Q2 2026.</w:t>
      </w:r>
    </w:p>
    <w:p>
      <w:pPr>
        <w:pStyle w:val="ListBullet"/>
        <w:ind w:left="360" w:hanging="360"/>
      </w:pPr>
      <w:r>
        <w:rPr>
          <w:rFonts w:ascii="Calibri" w:hAnsi="Calibri"/>
          <w:b/>
          <w:color w:val="525866"/>
          <w:sz w:val="22"/>
        </w:rPr>
        <w:t xml:space="preserve">Ammonia input costs — direct nitrogen pricing read-through: </w:t>
      </w:r>
      <w:r>
        <w:rPr>
          <w:rFonts w:ascii="Calibri" w:hAnsi="Calibri"/>
          <w:color w:val="525866"/>
          <w:sz w:val="22"/>
        </w:rPr>
        <w:t xml:space="preserve">Mosaic's Phosphate segment realized ammonia cost of $621/ton in Q2 2026 (vs. $626/ton in Q1 2026 and $445/ton in Q2 2025). Mosaic Fertilizantes segment realized ammonia cost of $815/ton in Q2 2026 (vs. $722/ton in Q1 2026 and $601/ton in Q2 2025). </w:t>
      </w:r>
      <w:r>
        <w:rPr>
          <w:rFonts w:ascii="Calibri" w:hAnsi="Calibri"/>
          <w:i/>
          <w:color w:val="525866"/>
          <w:sz w:val="22"/>
        </w:rPr>
        <w:t xml:space="preserve">Read-through for CF: </w:t>
      </w:r>
      <w:r>
        <w:rPr>
          <w:rFonts w:ascii="Calibri" w:hAnsi="Calibri"/>
          <w:i/>
          <w:color w:val="525866"/>
          <w:sz w:val="22"/>
        </w:rPr>
        <w:t>The $621/ton North American ammonia cost and $815/ton Brazilian cost confirm that global ammonia prices remained significantly elevated in Q2 2026 vs. prior year, broadly consistent with CF's consensus ammonia ASP of $663/ton.</w:t>
      </w:r>
    </w:p>
    <w:p>
      <w:pPr>
        <w:pStyle w:val="ListBullet"/>
        <w:ind w:left="360" w:hanging="360"/>
      </w:pPr>
      <w:r>
        <w:rPr>
          <w:rFonts w:ascii="Calibri" w:hAnsi="Calibri"/>
          <w:b/>
          <w:color w:val="525866"/>
          <w:sz w:val="22"/>
        </w:rPr>
        <w:t xml:space="preserve">Phosphate/potash volumes softer: </w:t>
      </w:r>
      <w:r>
        <w:rPr>
          <w:rFonts w:ascii="Calibri" w:hAnsi="Calibri"/>
          <w:color w:val="525866"/>
          <w:sz w:val="22"/>
        </w:rPr>
        <w:t xml:space="preserve">Total finished product sales volumes of 5,313 Ktons in Q2 2026 vs. 6,092 Ktons in Q1 2026; Phosphate operating rate fell to 58% from 66%. Brazil imported 23% less nitrogen YTD (per Yara). </w:t>
      </w:r>
      <w:r>
        <w:rPr>
          <w:rFonts w:ascii="Calibri" w:hAnsi="Calibri"/>
          <w:i/>
          <w:color w:val="525866"/>
          <w:sz w:val="22"/>
        </w:rPr>
        <w:t xml:space="preserve">Read-through for CF (indirect): </w:t>
      </w:r>
      <w:r>
        <w:rPr>
          <w:rFonts w:ascii="Calibri" w:hAnsi="Calibri"/>
          <w:i/>
          <w:color w:val="525866"/>
          <w:sz w:val="22"/>
        </w:rPr>
        <w:t>Softer overall fertilizer demand in Q2 is consistent with Yara's demand deferral commentary; may weigh on CF's volume realization.</w:t>
      </w:r>
    </w:p>
    <w:p>
      <w:pPr>
        <w:pStyle w:val="Heading3"/>
      </w:pPr>
      <w:r>
        <w:rPr>
          <w:rFonts w:ascii="Calibri" w:hAnsi="Calibri"/>
          <w:b/>
          <w:color w:val="3B4259"/>
          <w:sz w:val="24"/>
        </w:rPr>
        <w:t>B. Indirect Read-Throughs (Chemicals / Industrials — Geopolitical Supply Tailwind)</w:t>
      </w:r>
    </w:p>
    <w:p>
      <w:pPr>
        <w:pStyle w:val="Heading4"/>
      </w:pPr>
      <w:r>
        <w:rPr>
          <w:rFonts w:ascii="Calibri" w:hAnsi="Calibri"/>
          <w:b/>
          <w:color w:val="3B4259"/>
          <w:sz w:val="22"/>
        </w:rPr>
        <w:t>LyondellBasell (LYB) — Q2 2026 Earnings, July 31, 2026</w:t>
      </w:r>
    </w:p>
    <w:p>
      <w:pPr>
        <w:pStyle w:val="ListBullet"/>
        <w:ind w:left="360" w:hanging="360"/>
      </w:pPr>
      <w:r>
        <w:rPr>
          <w:rFonts w:ascii="Calibri" w:hAnsi="Calibri"/>
          <w:b/>
          <w:color w:val="525866"/>
          <w:sz w:val="22"/>
        </w:rPr>
        <w:t>LYB reported Q2 EBITDA of $2.12B vs. Street estimate of $1.78B (+19% beat)</w:t>
      </w:r>
      <w:r>
        <w:rPr>
          <w:rFonts w:ascii="Calibri" w:hAnsi="Calibri"/>
          <w:color w:val="525866"/>
          <w:sz w:val="22"/>
        </w:rPr>
        <w:t xml:space="preserve">, explicitly citing "geopolitical-related tailwinds including supply chain disruptions stemming from the Iran war" as a key driver. Packaging and specialty plastics net sales rose 27% YoY driven by higher polyethylene prices. </w:t>
      </w:r>
      <w:r>
        <w:rPr>
          <w:rFonts w:ascii="Calibri" w:hAnsi="Calibri"/>
          <w:i/>
          <w:color w:val="525866"/>
          <w:sz w:val="22"/>
        </w:rPr>
        <w:t xml:space="preserve">Read-through for CF (indirect): </w:t>
      </w:r>
      <w:r>
        <w:rPr>
          <w:rFonts w:ascii="Calibri" w:hAnsi="Calibri"/>
          <w:i/>
          <w:color w:val="525866"/>
          <w:sz w:val="22"/>
        </w:rPr>
        <w:t>Confirms that the Iran conflict is generating broad-based commodity price tailwinds across chemicals, not just nitrogen; validates CF's geopolitical premium thesis.</w:t>
      </w:r>
    </w:p>
    <w:p>
      <w:pPr>
        <w:pStyle w:val="Heading4"/>
      </w:pPr>
      <w:r>
        <w:rPr>
          <w:rFonts w:ascii="Calibri" w:hAnsi="Calibri"/>
          <w:b/>
          <w:color w:val="3B4259"/>
          <w:sz w:val="22"/>
        </w:rPr>
        <w:t>Dow Inc. (DOW) — Q2 2026 Earnings, July 23, 2026</w:t>
      </w:r>
    </w:p>
    <w:p>
      <w:pPr>
        <w:pStyle w:val="ListBullet"/>
        <w:ind w:left="360" w:hanging="360"/>
      </w:pPr>
      <w:r>
        <w:rPr>
          <w:rFonts w:ascii="Calibri" w:hAnsi="Calibri"/>
          <w:b/>
          <w:color w:val="525866"/>
          <w:sz w:val="22"/>
        </w:rPr>
        <w:t>DOW reported Q2 EPS of $1.44 vs. consensus $1.31 (+10% beat)</w:t>
      </w:r>
      <w:r>
        <w:rPr>
          <w:rFonts w:ascii="Calibri" w:hAnsi="Calibri"/>
          <w:color w:val="525866"/>
          <w:sz w:val="22"/>
        </w:rPr>
        <w:t xml:space="preserve">, with packaging/specialty plastics sales +27% YoY driven by higher polyethylene prices from Middle East supply disruptions. Management noted resilient global packaging demand and robust data center demand, but flagged soft China consumer demand and weak U.S. housing. Q3 EBITDA guidance of $1.75B fell slightly short of Street expectations of $1.86B. </w:t>
      </w:r>
      <w:r>
        <w:rPr>
          <w:rFonts w:ascii="Calibri" w:hAnsi="Calibri"/>
          <w:i/>
          <w:color w:val="525866"/>
          <w:sz w:val="22"/>
        </w:rPr>
        <w:t xml:space="preserve">Read-through for CF (indirect): </w:t>
      </w:r>
      <w:r>
        <w:rPr>
          <w:rFonts w:ascii="Calibri" w:hAnsi="Calibri"/>
          <w:i/>
          <w:color w:val="525866"/>
          <w:sz w:val="22"/>
        </w:rPr>
        <w:t>The Iran supply shock is lifting commodity prices broadly; DOW's Q3 guidance miss suggests the tailwind may be moderating for some chemicals, though nitrogen dynamics are more directly tied to agricultural demand.</w:t>
      </w:r>
    </w:p>
    <w:p>
      <w:pPr>
        <w:pStyle w:val="Heading4"/>
      </w:pPr>
      <w:r>
        <w:rPr>
          <w:rFonts w:ascii="Calibri" w:hAnsi="Calibri"/>
          <w:b/>
          <w:color w:val="3B4259"/>
          <w:sz w:val="22"/>
        </w:rPr>
        <w:t>ICL Group (ICL) — Raised Annual Profit Forecast, July 30, 2026</w:t>
      </w:r>
    </w:p>
    <w:p>
      <w:pPr>
        <w:pStyle w:val="ListBullet"/>
        <w:ind w:left="360" w:hanging="360"/>
      </w:pPr>
      <w:r>
        <w:rPr>
          <w:rFonts w:ascii="Calibri" w:hAnsi="Calibri"/>
          <w:b/>
          <w:color w:val="525866"/>
          <w:sz w:val="22"/>
        </w:rPr>
        <w:t>ICL Group lifted its annual profit forecast</w:t>
      </w:r>
      <w:r>
        <w:rPr>
          <w:rFonts w:ascii="Calibri" w:hAnsi="Calibri"/>
          <w:color w:val="525866"/>
          <w:sz w:val="22"/>
        </w:rPr>
        <w:t xml:space="preserve"> amid strategic growth execution. ICL is a potash and specialty fertilizer producer; the raised guidance reflects improved fertilizer market conditions broadly. </w:t>
      </w:r>
      <w:r>
        <w:rPr>
          <w:rFonts w:ascii="Calibri" w:hAnsi="Calibri"/>
          <w:i/>
          <w:color w:val="525866"/>
          <w:sz w:val="22"/>
        </w:rPr>
        <w:t xml:space="preserve">Read-through for CF (indirect): </w:t>
      </w:r>
      <w:r>
        <w:rPr>
          <w:rFonts w:ascii="Calibri" w:hAnsi="Calibri"/>
          <w:i/>
          <w:color w:val="525866"/>
          <w:sz w:val="22"/>
        </w:rPr>
        <w:t>Positive signal for overall fertilizer market conditions in H2 2026; potash and phosphate market strength often correlates with nitrogen demand as farmers apply balanced nutrient programs.</w:t>
      </w:r>
    </w:p>
    <w:p>
      <w:pPr>
        <w:pStyle w:val="Heading4"/>
      </w:pPr>
      <w:r>
        <w:rPr>
          <w:rFonts w:ascii="Calibri" w:hAnsi="Calibri"/>
          <w:b/>
          <w:color w:val="3B4259"/>
          <w:sz w:val="22"/>
        </w:rPr>
        <w:t>Corteva (CTVA) — Q2 2026 Earnings, July 30, 2026</w:t>
      </w:r>
    </w:p>
    <w:p>
      <w:pPr>
        <w:pStyle w:val="ListBullet"/>
        <w:ind w:left="360" w:hanging="360"/>
      </w:pPr>
      <w:r>
        <w:rPr>
          <w:rFonts w:ascii="Calibri" w:hAnsi="Calibri"/>
          <w:b/>
          <w:color w:val="525866"/>
          <w:sz w:val="22"/>
        </w:rPr>
        <w:t>Corteva reported Q2 2026 results</w:t>
      </w:r>
      <w:r>
        <w:rPr>
          <w:rFonts w:ascii="Calibri" w:hAnsi="Calibri"/>
          <w:color w:val="525866"/>
          <w:sz w:val="22"/>
        </w:rPr>
        <w:t xml:space="preserve"> (10-Q filed July 31, 2026). As a leading crop protection and seed company, Corteva's commentary on farmer economics and crop input demand provides context for nitrogen fertilizer demand. </w:t>
      </w:r>
      <w:r>
        <w:rPr>
          <w:rFonts w:ascii="Calibri" w:hAnsi="Calibri"/>
          <w:i/>
          <w:color w:val="525866"/>
          <w:sz w:val="22"/>
        </w:rPr>
        <w:t xml:space="preserve">Read-through for CF (indirect): </w:t>
      </w:r>
      <w:r>
        <w:rPr>
          <w:rFonts w:ascii="Calibri" w:hAnsi="Calibri"/>
          <w:i/>
          <w:color w:val="525866"/>
          <w:sz w:val="22"/>
        </w:rPr>
        <w:t>Farmer purchasing behavior and crop input demand trends from Corteva's commentary would be relevant to CF's fill-program outlook; detailed transcript not available in research window.</w:t>
      </w:r>
    </w:p>
    <w:p>
      <w:pPr>
        <w:pStyle w:val="Heading3"/>
      </w:pPr>
      <w:r>
        <w:rPr>
          <w:rFonts w:ascii="Calibri" w:hAnsi="Calibri"/>
          <w:b/>
          <w:color w:val="3B4259"/>
          <w:sz w:val="24"/>
        </w:rPr>
        <w:t>C. Commentary Explicitly Excluded (Prior-Quarter / Stale)</w:t>
      </w:r>
    </w:p>
    <w:p>
      <w:pPr>
        <w:pStyle w:val="ListBullet"/>
        <w:ind w:left="360" w:hanging="360"/>
      </w:pPr>
      <w:r>
        <w:rPr>
          <w:rFonts w:ascii="Calibri" w:hAnsi="Calibri"/>
          <w:b/>
          <w:color w:val="525866"/>
          <w:sz w:val="22"/>
        </w:rPr>
        <w:t xml:space="preserve">CF Industries Q1 2026 Earnings Call (May 7, 2026): </w:t>
      </w:r>
      <w:r>
        <w:rPr>
          <w:rFonts w:ascii="Calibri" w:hAnsi="Calibri"/>
          <w:color w:val="525866"/>
          <w:sz w:val="22"/>
        </w:rPr>
        <w:t>Excluded — this is the last-quarter earnings call, not current-quarter commentary. Used as the baseline for guidance evolution (Section 3) only.</w:t>
      </w:r>
    </w:p>
    <w:p>
      <w:pPr>
        <w:pStyle w:val="ListBullet"/>
        <w:ind w:left="360" w:hanging="360"/>
      </w:pPr>
      <w:r>
        <w:rPr>
          <w:rFonts w:ascii="Calibri" w:hAnsi="Calibri"/>
          <w:b/>
          <w:color w:val="525866"/>
          <w:sz w:val="22"/>
        </w:rPr>
        <w:t xml:space="preserve">CF Industries BMO Conference (May 13, 2026): </w:t>
      </w:r>
      <w:r>
        <w:rPr>
          <w:rFonts w:ascii="Calibri" w:hAnsi="Calibri"/>
          <w:color w:val="525866"/>
          <w:sz w:val="22"/>
        </w:rPr>
        <w:t>Included in Section 6 (Material News) as a post-Q1 management update, not in peer read-throughs.</w:t>
      </w:r>
    </w:p>
    <w:p>
      <w:pPr>
        <w:pStyle w:val="ListBullet"/>
        <w:ind w:left="360" w:hanging="360"/>
      </w:pPr>
      <w:r>
        <w:rPr>
          <w:rFonts w:ascii="Calibri" w:hAnsi="Calibri"/>
          <w:b/>
          <w:color w:val="525866"/>
          <w:sz w:val="22"/>
        </w:rPr>
        <w:t xml:space="preserve">Any peer Q1 2026 earnings commentary: </w:t>
      </w:r>
      <w:r>
        <w:rPr>
          <w:rFonts w:ascii="Calibri" w:hAnsi="Calibri"/>
          <w:color w:val="525866"/>
          <w:sz w:val="22"/>
        </w:rPr>
        <w:t>Excluded per user instruction — only commentary about the current Q2 reporting quarter or subsequent outlook is included.</w:t>
      </w:r>
    </w:p>
    <w:p>
      <w:r>
        <w:br w:type="page"/>
      </w:r>
    </w:p>
    <w:p>
      <w:pPr>
        <w:pStyle w:val="Heading2"/>
      </w:pPr>
      <w:r>
        <w:rPr>
          <w:rFonts w:ascii="Calibri" w:hAnsi="Calibri"/>
          <w:b/>
          <w:color w:val="3B4259"/>
          <w:sz w:val="28"/>
        </w:rPr>
        <w:t>8. Insider Transaction Activity (Since Q1 Earnings, May 6, 2026)</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CF Industries in the post-Q1 window (May 6 – August 4, 2026); the absence of insider buying at current prices (~$118–$130 range) is notable given management's vocal view that the stock is trading below intrinsic value, though the CFO transition (Andrew Scribner appointed May 5) may have created a blackout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(Form 4 codes P/S) identified for CF in the May 6 – August 4, 2026 window per SEC Form 4 database query</w:t>
            </w:r>
          </w:p>
        </w:tc>
      </w:tr>
    </w:tbl>
    <w:p>
      <w:r>
        <w:rPr>
          <w:rFonts w:ascii="Calibri" w:hAnsi="Calibri"/>
          <w:b/>
          <w:color w:val="525866"/>
          <w:sz w:val="22"/>
        </w:rPr>
        <w:t xml:space="preserve">Context: </w:t>
      </w:r>
      <w:r>
        <w:rPr>
          <w:rFonts w:ascii="Calibri" w:hAnsi="Calibri"/>
          <w:color w:val="525866"/>
          <w:sz w:val="22"/>
        </w:rPr>
        <w:t>The lack of insider buying is a mild negative signal given management's repeated assertion that the stock is "shockingly undervalued" and trades below intrinsic value. However, the CFO transition (Andrew Scribner appointed May 5, 2026) likely imposed a blackout period, and the pre-earnings quiet period (typically 30 days before the August 5 release) would have further restricted trading. The company's aggressive share repurchase program ($1.7B remaining) serves as the primary vehicle for capital return, and the 20% dividend increase on July 8 is a strong signal of management confidence in cash generation.</w:t>
      </w:r>
    </w:p>
    <w:p>
      <w:r>
        <w:br w:type="page"/>
      </w:r>
    </w:p>
    <w:p>
      <w:pPr>
        <w:pStyle w:val="Heading2"/>
      </w:pPr>
      <w:r>
        <w:rPr>
          <w:rFonts w:ascii="Calibri" w:hAnsi="Calibri"/>
          <w:b/>
          <w:color w:val="3B4259"/>
          <w:sz w:val="28"/>
        </w:rPr>
        <w:t>9. Key Risks</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 xml:space="preserve">Geopolitical resolution / supply normalization: </w:t>
      </w:r>
      <w:r>
        <w:rPr>
          <w:rFonts w:ascii="Calibri" w:hAnsi="Calibri"/>
          <w:color w:val="525866"/>
          <w:sz w:val="22"/>
        </w:rPr>
        <w:t>A ceasefire in the Iran conflict or reopening of the Strait of Hormuz would rapidly normalize global nitrogen supply and collapse the geopolitical risk premium that has driven the estimate revision cycle. This is the single largest tail risk to the bull case.</w:t>
      </w:r>
    </w:p>
    <w:p>
      <w:pPr>
        <w:pStyle w:val="ListBullet"/>
        <w:ind w:left="360" w:hanging="360"/>
      </w:pPr>
      <w:r>
        <w:rPr>
          <w:rFonts w:ascii="Calibri" w:hAnsi="Calibri"/>
          <w:b/>
          <w:color w:val="525866"/>
          <w:sz w:val="22"/>
        </w:rPr>
        <w:t xml:space="preserve">North America as lowest-priced market — volume risk: </w:t>
      </w:r>
      <w:r>
        <w:rPr>
          <w:rFonts w:ascii="Calibri" w:hAnsi="Calibri"/>
          <w:color w:val="525866"/>
          <w:sz w:val="22"/>
        </w:rPr>
        <w:t>CF's primary market traded at a significant discount to global benchmarks in Q2 (~$600/short ton NOLA vs. $700–$800/MT offshore). Yara confirmed demand deferral in the northern hemisphere as buyers hesitated at elevated prices; CF's Q2 volumes may disappoint even if pricing was strong.</w:t>
      </w:r>
    </w:p>
    <w:p>
      <w:pPr>
        <w:pStyle w:val="ListBullet"/>
        <w:ind w:left="360" w:hanging="360"/>
      </w:pPr>
      <w:r>
        <w:rPr>
          <w:rFonts w:ascii="Calibri" w:hAnsi="Calibri"/>
          <w:b/>
          <w:color w:val="525866"/>
          <w:sz w:val="22"/>
        </w:rPr>
        <w:t xml:space="preserve">Fill-program execution risk: </w:t>
      </w:r>
      <w:r>
        <w:rPr>
          <w:rFonts w:ascii="Calibri" w:hAnsi="Calibri"/>
          <w:color w:val="525866"/>
          <w:sz w:val="22"/>
        </w:rPr>
        <w:t>The summer fill program (expected early August launch) is the key Q3 earnings driver. If channel inventory is not as empty as management expects, or if farmer demand is weaker due to lower corn prices or El Niño crop concerns, fill-program pricing and volumes could disappoint.</w:t>
      </w:r>
    </w:p>
    <w:p>
      <w:pPr>
        <w:pStyle w:val="ListBullet"/>
        <w:ind w:left="360" w:hanging="360"/>
      </w:pPr>
      <w:r>
        <w:rPr>
          <w:rFonts w:ascii="Calibri" w:hAnsi="Calibri"/>
          <w:b/>
          <w:color w:val="525866"/>
          <w:sz w:val="22"/>
        </w:rPr>
        <w:t xml:space="preserve">Yazoo City outage duration: </w:t>
      </w:r>
      <w:r>
        <w:rPr>
          <w:rFonts w:ascii="Calibri" w:hAnsi="Calibri"/>
          <w:color w:val="525866"/>
          <w:sz w:val="22"/>
        </w:rPr>
        <w:t>The Yazoo City Complex is not expected to resume production until late Q4 2026 at earliest, constraining AN and DEF volumes. Any further delay would reduce FY2026 production guidance.</w:t>
      </w:r>
    </w:p>
    <w:p>
      <w:pPr>
        <w:pStyle w:val="ListBullet"/>
        <w:ind w:left="360" w:hanging="360"/>
      </w:pPr>
      <w:r>
        <w:rPr>
          <w:rFonts w:ascii="Calibri" w:hAnsi="Calibri"/>
          <w:b/>
          <w:color w:val="525866"/>
          <w:sz w:val="22"/>
        </w:rPr>
        <w:t xml:space="preserve">Natural gas cost upside: </w:t>
      </w:r>
      <w:r>
        <w:rPr>
          <w:rFonts w:ascii="Calibri" w:hAnsi="Calibri"/>
          <w:color w:val="525866"/>
          <w:sz w:val="22"/>
        </w:rPr>
        <w:t>Q1 2026 gas costs averaged $4.57/MMBtu due to the January–February Henry Hub spike. While management expects the remainder of the year to track the NYMEX strip (~$2.60 at the Q1 call), any renewed gas price spike would compress margins.</w:t>
      </w:r>
    </w:p>
    <w:p>
      <w:pPr>
        <w:pStyle w:val="ListBullet"/>
        <w:ind w:left="360" w:hanging="360"/>
      </w:pPr>
      <w:r>
        <w:rPr>
          <w:rFonts w:ascii="Calibri" w:hAnsi="Calibri"/>
          <w:b/>
          <w:color w:val="525866"/>
          <w:sz w:val="22"/>
        </w:rPr>
        <w:t xml:space="preserve">Multiple compression / market perception: </w:t>
      </w:r>
      <w:r>
        <w:rPr>
          <w:rFonts w:ascii="Calibri" w:hAnsi="Calibri"/>
          <w:color w:val="525866"/>
          <w:sz w:val="22"/>
        </w:rPr>
        <w:t>CF's NTM EV/EBITDA has compressed from ~7.6x to ~6.4x over the past six months despite surging estimates, suggesting the market is discounting the sustainability of elevated nitrogen prices. If the geopolitical premium is viewed as transitory, the stock may not re-rate even on a strong Q2 beat.</w:t>
      </w:r>
    </w:p>
    <w:p>
      <w:pPr>
        <w:pStyle w:val="ListBullet"/>
        <w:ind w:left="360" w:hanging="360"/>
      </w:pPr>
      <w:r>
        <w:rPr>
          <w:rFonts w:ascii="Calibri" w:hAnsi="Calibri"/>
          <w:b/>
          <w:color w:val="525866"/>
          <w:sz w:val="22"/>
        </w:rPr>
        <w:t xml:space="preserve">El Niño / weather risk: </w:t>
      </w:r>
      <w:r>
        <w:rPr>
          <w:rFonts w:ascii="Calibri" w:hAnsi="Calibri"/>
          <w:color w:val="525866"/>
          <w:sz w:val="22"/>
        </w:rPr>
        <w:t>Management flagged El Niño conditions as a potential H2 2026 risk, with drought impacts possible in South America and other regions. Yara noted concerns in Australia, Southeast Asia, and India. If El Niño reduces crop yields and farmer income, nitrogen demand could soften.</w:t>
      </w:r>
    </w:p>
    <w:p>
      <w:pPr>
        <w:pStyle w:val="Heading3"/>
      </w:pPr>
      <w:r>
        <w:rPr>
          <w:rFonts w:ascii="Calibri" w:hAnsi="Calibri"/>
          <w:b/>
          <w:color w:val="3B4259"/>
          <w:sz w:val="24"/>
        </w:rPr>
        <w:t>Upside Risks</w:t>
      </w:r>
    </w:p>
    <w:p>
      <w:pPr>
        <w:pStyle w:val="ListBullet"/>
        <w:ind w:left="360" w:hanging="360"/>
      </w:pPr>
      <w:r>
        <w:rPr>
          <w:rFonts w:ascii="Calibri" w:hAnsi="Calibri"/>
          <w:b/>
          <w:color w:val="525866"/>
          <w:sz w:val="22"/>
        </w:rPr>
        <w:t xml:space="preserve">Fill-program pricing above consensus: </w:t>
      </w:r>
      <w:r>
        <w:rPr>
          <w:rFonts w:ascii="Calibri" w:hAnsi="Calibri"/>
          <w:color w:val="525866"/>
          <w:sz w:val="22"/>
        </w:rPr>
        <w:t>If the early-August fill program launches at prices above the current consensus urea ASP of ~$592/ton (consistent with Yara's observation that prices were "quite a bit up in the last week" as of July 17), Q3 estimates could move materially higher.</w:t>
      </w:r>
    </w:p>
    <w:p>
      <w:pPr>
        <w:pStyle w:val="ListBullet"/>
        <w:ind w:left="360" w:hanging="360"/>
      </w:pPr>
      <w:r>
        <w:rPr>
          <w:rFonts w:ascii="Calibri" w:hAnsi="Calibri"/>
          <w:b/>
          <w:color w:val="525866"/>
          <w:sz w:val="22"/>
        </w:rPr>
        <w:t xml:space="preserve">Accelerated share repurchase: </w:t>
      </w:r>
      <w:r>
        <w:rPr>
          <w:rFonts w:ascii="Calibri" w:hAnsi="Calibri"/>
          <w:color w:val="525866"/>
          <w:sz w:val="22"/>
        </w:rPr>
        <w:t>With $1.7B remaining on the buyback authorization and management reaffirming intention to execute in full before December 2029 expiration, any acceleration in buyback pace (which was light in Q1 due to Iran conflict uncertainty) would be a positive catalyst.</w:t>
      </w:r>
    </w:p>
    <w:p>
      <w:pPr>
        <w:pStyle w:val="ListBullet"/>
        <w:ind w:left="360" w:hanging="360"/>
      </w:pPr>
      <w:r>
        <w:rPr>
          <w:rFonts w:ascii="Calibri" w:hAnsi="Calibri"/>
          <w:b/>
          <w:color w:val="525866"/>
          <w:sz w:val="22"/>
        </w:rPr>
        <w:t xml:space="preserve">India import demand exceeds estimates: </w:t>
      </w:r>
      <w:r>
        <w:rPr>
          <w:rFonts w:ascii="Calibri" w:hAnsi="Calibri"/>
          <w:color w:val="525866"/>
          <w:sz w:val="22"/>
        </w:rPr>
        <w:t>Management raised India urea import estimates to 10–13 million metric tons at the BMO conference (vs. 10–12M at Q1 call). If India's domestic production shortfall is worse than expected due to LNG shortages, import demand could exceed even the raised estimate.</w:t>
      </w:r>
    </w:p>
    <w:p>
      <w:pPr>
        <w:pStyle w:val="ListBullet"/>
        <w:ind w:left="360" w:hanging="360"/>
      </w:pPr>
      <w:r>
        <w:rPr>
          <w:rFonts w:ascii="Calibri" w:hAnsi="Calibri"/>
          <w:b/>
          <w:color w:val="525866"/>
          <w:sz w:val="22"/>
        </w:rPr>
        <w:t xml:space="preserve">Blue Point permit receipt and construction commencement: </w:t>
      </w:r>
      <w:r>
        <w:rPr>
          <w:rFonts w:ascii="Calibri" w:hAnsi="Calibri"/>
          <w:color w:val="525866"/>
          <w:sz w:val="22"/>
        </w:rPr>
        <w:t>Any announcement of permit receipt and formal construction commencement at Blue Point would be a positive catalyst, validating the long-term growth story and potentially triggering a re-rating.</w:t>
      </w:r>
    </w:p>
    <w:p>
      <w:pPr>
        <w:pStyle w:val="ListBullet"/>
        <w:ind w:left="360" w:hanging="360"/>
      </w:pPr>
      <w:r>
        <w:rPr>
          <w:rFonts w:ascii="Calibri" w:hAnsi="Calibri"/>
          <w:b/>
          <w:color w:val="525866"/>
          <w:sz w:val="22"/>
        </w:rPr>
        <w:t xml:space="preserve">Low-carbon ammonia premium expansion: </w:t>
      </w:r>
      <w:r>
        <w:rPr>
          <w:rFonts w:ascii="Calibri" w:hAnsi="Calibri"/>
          <w:color w:val="525866"/>
          <w:sz w:val="22"/>
        </w:rPr>
        <w:t>CF is currently capturing $20–$25/ton premiums on low-carbon ammonia (vs. a potential $25–$50/ton range). Any expansion of the premium or new CPG partnerships (following the PepsiCo/Frito-Lay announcement) would be incrementally positive.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