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cmi-earnings-predictions--2026-08-04"/>
    <w:p>
      <w:pPr>
        <w:pStyle w:val="Heading1"/>
      </w:pPr>
      <w:r>
        <w:t xml:space="preserve">CMI Earnings Predictions — 2026-08-04</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t xml:space="preserve">Ticker</w:t>
            </w:r>
          </w:p>
        </w:tc>
        <w:tc>
          <w:tcPr/>
          <w:p>
            <w:pPr>
              <w:pStyle w:val="Compact"/>
            </w:pPr>
            <w:r>
              <w:t xml:space="preserve">Report or Guide</w:t>
            </w:r>
          </w:p>
        </w:tc>
        <w:tc>
          <w:tcPr/>
          <w:p>
            <w:pPr>
              <w:pStyle w:val="Compact"/>
            </w:pPr>
            <w:r>
              <w:t xml:space="preserve">KPI</w:t>
            </w:r>
          </w:p>
        </w:tc>
        <w:tc>
          <w:tcPr/>
          <w:p>
            <w:pPr>
              <w:pStyle w:val="Compact"/>
            </w:pPr>
            <w:r>
              <w:t xml:space="preserve">Prediction</w:t>
            </w:r>
          </w:p>
        </w:tc>
        <w:tc>
          <w:tcPr/>
          <w:p>
            <w:pPr>
              <w:pStyle w:val="Compact"/>
            </w:pPr>
            <w:r>
              <w:t xml:space="preserve">Answer</w:t>
            </w:r>
          </w:p>
        </w:tc>
        <w:tc>
          <w:tcPr/>
          <w:p>
            <w:pPr>
              <w:pStyle w:val="Compact"/>
            </w:pPr>
            <w:r>
              <w:t xml:space="preserve">Confidence</w:t>
            </w:r>
          </w:p>
        </w:tc>
      </w:tr>
      <w:tr>
        <w:tc>
          <w:tcPr/>
          <w:p>
            <w:pPr>
              <w:pStyle w:val="Compact"/>
            </w:pPr>
            <w:r>
              <w:t xml:space="preserve">CMI</w:t>
            </w:r>
          </w:p>
        </w:tc>
        <w:tc>
          <w:tcPr/>
          <w:p>
            <w:pPr>
              <w:pStyle w:val="Compact"/>
            </w:pPr>
            <w:r>
              <w:t xml:space="preserve">Report</w:t>
            </w:r>
          </w:p>
        </w:tc>
        <w:tc>
          <w:tcPr/>
          <w:p>
            <w:pPr>
              <w:pStyle w:val="Compact"/>
            </w:pPr>
            <w:r>
              <w:t xml:space="preserve">Total Revenue (Q2 2026)</w:t>
            </w:r>
          </w:p>
        </w:tc>
        <w:tc>
          <w:tcPr/>
          <w:p>
            <w:pPr>
              <w:pStyle w:val="Compact"/>
            </w:pPr>
            <w:r>
              <w:t xml:space="preserve">BEAT</w:t>
            </w:r>
          </w:p>
        </w:tc>
        <w:tc>
          <w:tcPr/>
          <w:p>
            <w:pPr>
              <w:pStyle w:val="Compact"/>
            </w:pPr>
            <w:r>
              <w:t xml:space="preserve">pred ~$9.48B vs. cons $9.32B</w:t>
            </w:r>
          </w:p>
        </w:tc>
        <w:tc>
          <w:tcPr/>
          <w:p>
            <w:pPr>
              <w:pStyle w:val="Compact"/>
            </w:pPr>
            <w:r>
              <w:t xml:space="preserve">MEDIUM</w:t>
            </w:r>
          </w:p>
        </w:tc>
      </w:tr>
      <w:tr>
        <w:tc>
          <w:tcPr/>
          <w:p>
            <w:pPr>
              <w:pStyle w:val="Compact"/>
            </w:pPr>
            <w:r>
              <w:t xml:space="preserve">CMI</w:t>
            </w:r>
          </w:p>
        </w:tc>
        <w:tc>
          <w:tcPr/>
          <w:p>
            <w:pPr>
              <w:pStyle w:val="Compact"/>
            </w:pPr>
            <w:r>
              <w:t xml:space="preserve">Report</w:t>
            </w:r>
          </w:p>
        </w:tc>
        <w:tc>
          <w:tcPr/>
          <w:p>
            <w:pPr>
              <w:pStyle w:val="Compact"/>
            </w:pPr>
            <w:r>
              <w:t xml:space="preserve">Adjusted Diluted EPS (Q2 2026)</w:t>
            </w:r>
          </w:p>
        </w:tc>
        <w:tc>
          <w:tcPr/>
          <w:p>
            <w:pPr>
              <w:pStyle w:val="Compact"/>
            </w:pPr>
            <w:r>
              <w:t xml:space="preserve">BEAT</w:t>
            </w:r>
          </w:p>
        </w:tc>
        <w:tc>
          <w:tcPr/>
          <w:p>
            <w:pPr>
              <w:pStyle w:val="Compact"/>
            </w:pPr>
            <w:r>
              <w:t xml:space="preserve">pred ~$7.45 vs. cons $7.19</w:t>
            </w:r>
          </w:p>
        </w:tc>
        <w:tc>
          <w:tcPr/>
          <w:p>
            <w:pPr>
              <w:pStyle w:val="Compact"/>
            </w:pPr>
            <w:r>
              <w:t xml:space="preserve">MEDIUM</w:t>
            </w:r>
          </w:p>
        </w:tc>
      </w:tr>
      <w:tr>
        <w:tc>
          <w:tcPr/>
          <w:p>
            <w:pPr>
              <w:pStyle w:val="Compact"/>
            </w:pPr>
            <w:r>
              <w:t xml:space="preserve">CMI</w:t>
            </w:r>
          </w:p>
        </w:tc>
        <w:tc>
          <w:tcPr/>
          <w:p>
            <w:pPr>
              <w:pStyle w:val="Compact"/>
            </w:pPr>
            <w:r>
              <w:t xml:space="preserve">Report</w:t>
            </w:r>
          </w:p>
        </w:tc>
        <w:tc>
          <w:tcPr/>
          <w:p>
            <w:pPr>
              <w:pStyle w:val="Compact"/>
            </w:pPr>
            <w:r>
              <w:t xml:space="preserve">Power Systems Segment EBITDA Margin (Q2 2026)</w:t>
            </w:r>
          </w:p>
        </w:tc>
        <w:tc>
          <w:tcPr/>
          <w:p>
            <w:pPr>
              <w:pStyle w:val="Compact"/>
            </w:pPr>
            <w:r>
              <w:t xml:space="preserve">IN-LINE</w:t>
            </w:r>
          </w:p>
        </w:tc>
        <w:tc>
          <w:tcPr/>
          <w:p>
            <w:pPr>
              <w:pStyle w:val="Compact"/>
            </w:pPr>
            <w:r>
              <w:t xml:space="preserve">pred ~27.0% vs. cons ~26.5% (implied by guided step-down from Q1's 29.5%)</w:t>
            </w:r>
          </w:p>
        </w:tc>
        <w:tc>
          <w:tcPr/>
          <w:p>
            <w:pPr>
              <w:pStyle w:val="Compact"/>
            </w:pPr>
            <w:r>
              <w:t xml:space="preserve">LOW</w:t>
            </w:r>
          </w:p>
        </w:tc>
      </w:tr>
      <w:tr>
        <w:tc>
          <w:tcPr/>
          <w:p>
            <w:pPr>
              <w:pStyle w:val="Compact"/>
            </w:pPr>
            <w:r>
              <w:t xml:space="preserve">CMI</w:t>
            </w:r>
          </w:p>
        </w:tc>
        <w:tc>
          <w:tcPr/>
          <w:p>
            <w:pPr>
              <w:pStyle w:val="Compact"/>
            </w:pPr>
            <w:r>
              <w:t xml:space="preserve">Guide</w:t>
            </w:r>
          </w:p>
        </w:tc>
        <w:tc>
          <w:tcPr/>
          <w:p>
            <w:pPr>
              <w:pStyle w:val="Compact"/>
            </w:pPr>
            <w:r>
              <w:t xml:space="preserve">FY2026 Total Revenue Growth Guidance</w:t>
            </w:r>
          </w:p>
        </w:tc>
        <w:tc>
          <w:tcPr/>
          <w:p>
            <w:pPr>
              <w:pStyle w:val="Compact"/>
            </w:pPr>
            <w:r>
              <w:t xml:space="preserve">UNCHANGED</w:t>
            </w:r>
          </w:p>
        </w:tc>
        <w:tc>
          <w:tcPr/>
          <w:p>
            <w:pPr>
              <w:pStyle w:val="Compact"/>
            </w:pPr>
            <w:r>
              <w:t xml:space="preserve">guide ~9.5% (reaffirm 8%-11% range midpoint) vs. cons 9.5% (FY2026)</w:t>
            </w:r>
          </w:p>
        </w:tc>
        <w:tc>
          <w:tcPr/>
          <w:p>
            <w:pPr>
              <w:pStyle w:val="Compact"/>
            </w:pPr>
            <w:r>
              <w:t xml:space="preserve">MEDIUM</w:t>
            </w:r>
          </w:p>
        </w:tc>
      </w:tr>
      <w:tr>
        <w:tc>
          <w:tcPr/>
          <w:p>
            <w:pPr>
              <w:pStyle w:val="Compact"/>
            </w:pPr>
            <w:r>
              <w:t xml:space="preserve">CMI</w:t>
            </w:r>
          </w:p>
        </w:tc>
        <w:tc>
          <w:tcPr/>
          <w:p>
            <w:pPr>
              <w:pStyle w:val="Compact"/>
            </w:pPr>
            <w:r>
              <w:t xml:space="preserve">Guide</w:t>
            </w:r>
          </w:p>
        </w:tc>
        <w:tc>
          <w:tcPr/>
          <w:p>
            <w:pPr>
              <w:pStyle w:val="Compact"/>
            </w:pPr>
            <w:r>
              <w:t xml:space="preserve">FY2026 EBITDA Margin Guidance</w:t>
            </w:r>
          </w:p>
        </w:tc>
        <w:tc>
          <w:tcPr/>
          <w:p>
            <w:pPr>
              <w:pStyle w:val="Compact"/>
            </w:pPr>
            <w:r>
              <w:t xml:space="preserve">UNCHANGED</w:t>
            </w:r>
          </w:p>
        </w:tc>
        <w:tc>
          <w:tcPr/>
          <w:p>
            <w:pPr>
              <w:pStyle w:val="Compact"/>
            </w:pPr>
            <w:r>
              <w:t xml:space="preserve">guide ~18.1% (reaffirm 17.75%-18.50% range midpoint) vs. cons 18.1% (FY2026)</w:t>
            </w:r>
          </w:p>
        </w:tc>
        <w:tc>
          <w:tcPr/>
          <w:p>
            <w:pPr>
              <w:pStyle w:val="Compact"/>
            </w:pPr>
            <w:r>
              <w:t xml:space="preserve">MEDIUM</w:t>
            </w:r>
          </w:p>
        </w:tc>
      </w:tr>
      <w:tr>
        <w:tc>
          <w:tcPr/>
          <w:p>
            <w:pPr>
              <w:pStyle w:val="Compact"/>
            </w:pPr>
            <w:r>
              <w:t xml:space="preserve">CMI</w:t>
            </w:r>
          </w:p>
        </w:tc>
        <w:tc>
          <w:tcPr/>
          <w:p>
            <w:pPr>
              <w:pStyle w:val="Compact"/>
            </w:pPr>
            <w:r>
              <w:t xml:space="preserve">Guide</w:t>
            </w:r>
          </w:p>
        </w:tc>
        <w:tc>
          <w:tcPr/>
          <w:p>
            <w:pPr>
              <w:pStyle w:val="Compact"/>
            </w:pPr>
            <w:r>
              <w:t xml:space="preserve">Power Systems FY2026 Segment EBITDA Margin Commentary/Data-Center Order Backlog</w:t>
            </w:r>
          </w:p>
        </w:tc>
        <w:tc>
          <w:tcPr/>
          <w:p>
            <w:pPr>
              <w:pStyle w:val="Compact"/>
            </w:pPr>
            <w:r>
              <w:t xml:space="preserve">BETTER</w:t>
            </w:r>
          </w:p>
        </w:tc>
        <w:tc>
          <w:tcPr/>
          <w:p>
            <w:pPr>
              <w:pStyle w:val="Compact"/>
            </w:pPr>
            <w:r>
              <w:t xml:space="preserve">guide ~26.0% (reaffirmed high-20s normalizing to guided range, with order backlog supporting &gt;$9B 2030 data-center revenue target) vs. cons ~25.5% (FY2026)</w:t>
            </w:r>
          </w:p>
        </w:tc>
        <w:tc>
          <w:tcPr/>
          <w:p>
            <w:pPr>
              <w:pStyle w:val="Compact"/>
            </w:pPr>
            <w:r>
              <w:t xml:space="preserve">LOW</w:t>
            </w:r>
          </w:p>
        </w:tc>
      </w:tr>
      <w:tr>
        <w:tc>
          <w:tcPr/>
          <w:p>
            <w:pPr>
              <w:pStyle w:val="Compact"/>
            </w:pPr>
            <w:r>
              <w:t xml:space="preserve">CMI</w:t>
            </w:r>
          </w:p>
        </w:tc>
        <w:tc>
          <w:tcPr/>
          <w:p>
            <w:pPr>
              <w:pStyle w:val="Compact"/>
            </w:pPr>
            <w:r>
              <w:t xml:space="preserve">Return</w:t>
            </w:r>
          </w:p>
        </w:tc>
        <w:tc>
          <w:tcPr/>
          <w:p>
            <w:pPr>
              <w:pStyle w:val="Compact"/>
            </w:pPr>
            <w:r>
              <w:t xml:space="preserve">Day-1 residual (stock − beta × S&amp;P 500)</w:t>
            </w:r>
          </w:p>
        </w:tc>
        <w:tc>
          <w:tcPr/>
          <w:p>
            <w:pPr>
              <w:pStyle w:val="Compact"/>
            </w:pPr>
            <w:r>
              <w:t xml:space="preserve">+1.6%</w:t>
            </w:r>
          </w:p>
        </w:tc>
        <w:tc>
          <w:tcPr/>
          <w:p>
            <w:pPr>
              <w:pStyle w:val="Compact"/>
            </w:pPr>
            <w:r>
              <w:t xml:space="preserve">—</w:t>
            </w:r>
          </w:p>
        </w:tc>
        <w:tc>
          <w:tcPr/>
          <w:p>
            <w:pPr>
              <w:pStyle w:val="Compact"/>
            </w:pPr>
            <w:r>
              <w:t xml:space="preserve">MEDIUM</w:t>
            </w:r>
          </w:p>
        </w:tc>
      </w:tr>
      <w:tr>
        <w:tc>
          <w:tcPr/>
          <w:p>
            <w:pPr>
              <w:pStyle w:val="Compact"/>
            </w:pPr>
            <w:r>
              <w:t xml:space="preserve">CMI</w:t>
            </w:r>
          </w:p>
        </w:tc>
        <w:tc>
          <w:tcPr/>
          <w:p>
            <w:pPr>
              <w:pStyle w:val="Compact"/>
            </w:pPr>
            <w:r>
              <w:t xml:space="preserve">Return</w:t>
            </w:r>
          </w:p>
        </w:tc>
        <w:tc>
          <w:tcPr/>
          <w:p>
            <w:pPr>
              <w:pStyle w:val="Compact"/>
            </w:pPr>
            <w:r>
              <w:t xml:space="preserve">5-day cumulative residual</w:t>
            </w:r>
          </w:p>
        </w:tc>
        <w:tc>
          <w:tcPr/>
          <w:p>
            <w:pPr>
              <w:pStyle w:val="Compact"/>
            </w:pPr>
            <w:r>
              <w:t xml:space="preserve">+0.7% (FADE)</w:t>
            </w:r>
          </w:p>
        </w:tc>
        <w:tc>
          <w:tcPr/>
          <w:p>
            <w:pPr>
              <w:pStyle w:val="Compact"/>
            </w:pPr>
            <w:r>
              <w:t xml:space="preserve">A modest top/bottom-line beat plus reassuring data-center/backlog commentary should trigger a relief rally on day 1 given the stock's recent CAT-driven de-rating, but because guidance is likely reaffirmed rather than raised a third time (already raised at Q1 and at the May Analyst Day) and management continues to flag Power Systems margin normalization off Q1's record 29.5% level plus EPA2027 prebuy/cost uncertainty in Engine, out-period estimates get trimmed even after the beat. That implicit second-half margin give-back and lack of a fresh raise should cause the initial pop to partially fade over the following days as analysts true up FY EBITDA margin and Power Systems margin trajectories toward the lower end of ranges.</w:t>
            </w:r>
          </w:p>
        </w:tc>
        <w:tc>
          <w:tcPr/>
          <w:p>
            <w:pPr>
              <w:pStyle w:val="Compact"/>
            </w:pPr>
            <w:r>
              <w:t xml:space="preserve">LOW</w:t>
            </w:r>
          </w:p>
        </w:tc>
      </w:tr>
    </w:tbl>
    <w:bookmarkEnd w:id="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2026-08-04T01:01:54Z</dcterms:created>
  <dcterms:modified xsi:type="dcterms:W3CDTF">2026-08-04T01:01:54Z</dcterms:modified>
</cp:coreProperties>
</file>

<file path=docProps/custom.xml><?xml version="1.0" encoding="utf-8"?>
<Properties xmlns="http://schemas.openxmlformats.org/officeDocument/2006/custom-properties" xmlns:vt="http://schemas.openxmlformats.org/officeDocument/2006/docPropsVTypes"/>
</file>