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56df887cd3ece8de0fe17383e8b19aae07295ab"/>
    <w:p>
      <w:pPr>
        <w:pStyle w:val="Heading1"/>
      </w:pPr>
      <w:r>
        <w:t xml:space="preserve">Cummins (NYSE: CMI) — 2026 Q2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August 4, 2026 is today, not tomorrow. I am treating this as a preview of Cummins’ Q2 report scheduled for</w:t>
      </w:r>
      <w:r>
        <w:t xml:space="preserve"> </w:t>
      </w:r>
      <w:r>
        <w:rPr>
          <w:b/>
          <w:bCs/>
        </w:rPr>
        <w:t xml:space="preserve">Tuesday, August 4</w:t>
      </w:r>
      <w:r>
        <w:t xml:space="preserve">, before the U.S. market opens, with the conference call expected at</w:t>
      </w:r>
      <w:r>
        <w:t xml:space="preserve"> </w:t>
      </w:r>
      <w:r>
        <w:rPr>
          <w:b/>
          <w:bCs/>
        </w:rPr>
        <w:t xml:space="preserve">10:00 a.m. ET</w:t>
      </w:r>
      <w:r>
        <w:t xml:space="preserve">. (</w:t>
      </w:r>
      <w:hyperlink r:id="rId9">
        <w:r>
          <w:rPr>
            <w:rStyle w:val="Hyperlink"/>
          </w:rPr>
          <w:t xml:space="preserve">marketbeat.com</w:t>
        </w:r>
      </w:hyperlink>
      <w:r>
        <w:t xml:space="preserve">)</w:t>
      </w:r>
    </w:p>
    <w:bookmarkStart w:id="10" w:name="investment-setup"/>
    <w:p>
      <w:pPr>
        <w:pStyle w:val="Heading2"/>
      </w:pPr>
      <w:r>
        <w:t xml:space="preserve">Investment setup</w:t>
      </w:r>
    </w:p>
    <w:p>
      <w:pPr>
        <w:pStyle w:val="FirstParagraph"/>
      </w:pPr>
      <w:r>
        <w:t xml:space="preserve">Cummins enters the report with two powerful earnings drivers: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Rapid growth in data-center power generation</w:t>
      </w:r>
      <w:r>
        <w:t xml:space="preserve">, supporting record Power Systems profitability and accelerating Distribution revenue.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recovery in North American truck production</w:t>
      </w:r>
      <w:r>
        <w:t xml:space="preserve">, including some demand being pulled forward ahead of the 2027 emissions transition.</w:t>
      </w:r>
    </w:p>
    <w:p>
      <w:pPr>
        <w:pStyle w:val="FirstParagraph"/>
      </w:pPr>
      <w:r>
        <w:t xml:space="preserve">The issue is that neither development is a secret. At the August 3 close of</w:t>
      </w:r>
      <w:r>
        <w:t xml:space="preserve"> </w:t>
      </w:r>
      <w:r>
        <w:rPr>
          <w:b/>
          <w:bCs/>
        </w:rPr>
        <w:t xml:space="preserve">$648.89</w:t>
      </w:r>
      <w:r>
        <w:t xml:space="preserve">, CMI was approximately</w:t>
      </w:r>
      <w:r>
        <w:t xml:space="preserve"> </w:t>
      </w:r>
      <w:r>
        <w:rPr>
          <w:b/>
          <w:bCs/>
        </w:rPr>
        <w:t xml:space="preserve">27% higher year to date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80% above its year-ago level</w:t>
      </w:r>
      <w:r>
        <w:t xml:space="preserve">, although about 11% below its June peak.</w:t>
      </w:r>
    </w:p>
    <w:p>
      <w:pPr>
        <w:pStyle w:val="BodyText"/>
      </w:pPr>
      <w:r>
        <w:t xml:space="preserve">Consequently, a routine EPS beat may not be enough. Investors will likely focus on the durability of data-center orders, Power Systems margins, the truck-production ramp and whether management raises its already-improved 2026 guidance.</w:t>
      </w:r>
    </w:p>
    <w:bookmarkEnd w:id="10"/>
    <w:bookmarkStart w:id="13" w:name="what-the-street-expects"/>
    <w:p>
      <w:pPr>
        <w:pStyle w:val="Heading2"/>
      </w:pPr>
      <w:r>
        <w:t xml:space="preserve">What the Street expects</w:t>
      </w:r>
    </w:p>
    <w:p>
      <w:pPr>
        <w:pStyle w:val="FirstParagraph"/>
      </w:pPr>
      <w:r>
        <w:t xml:space="preserve">Consensus varies modestly by provider, but the central expectations are approximately: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consensus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Approx.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9.31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9.32B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$8.64B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~$7.20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$6.43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~12%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Engine 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$3.03B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$2.90B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Components 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$2.78B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$2.71B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Distribution 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$3.38B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$3.04B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~11%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Power Systems 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$2.18B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$1.89B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~16%</w:t>
            </w:r>
          </w:p>
        </w:tc>
      </w:tr>
    </w:tbl>
    <w:p>
      <w:pPr>
        <w:pStyle w:val="BodyText"/>
      </w:pPr>
      <w:r>
        <w:t xml:space="preserve">Public estimate sources place EPS near $7.21, although some forecasts are closer to</w:t>
      </w:r>
      <w:r>
        <w:t xml:space="preserve"> </w:t>
      </w:r>
      <m:oMath>
        <m:r>
          <m:t>7.34</m:t>
        </m:r>
        <m:r>
          <m:rPr>
            <m:sty m:val="p"/>
          </m:rPr>
          <m:t>;</m:t>
        </m:r>
        <m:r>
          <m:t>t</m:t>
        </m:r>
        <m:r>
          <m:t>h</m:t>
        </m:r>
        <m:r>
          <m:t>e</m:t>
        </m:r>
        <m:r>
          <m:t>m</m:t>
        </m:r>
        <m:r>
          <m:t>o</m:t>
        </m:r>
        <m:r>
          <m:t>r</m:t>
        </m:r>
        <m:r>
          <m:t>e</m:t>
        </m:r>
        <m:r>
          <m:t>u</m:t>
        </m:r>
        <m:r>
          <m:t>s</m:t>
        </m:r>
        <m:r>
          <m:t>e</m:t>
        </m:r>
        <m:r>
          <m:t>f</m:t>
        </m:r>
        <m:r>
          <m:t>u</m:t>
        </m:r>
        <m:r>
          <m:t>l</m:t>
        </m:r>
        <m:r>
          <m:t>b</m:t>
        </m:r>
        <m:r>
          <m:t>e</m:t>
        </m:r>
        <m:r>
          <m:t>n</m:t>
        </m:r>
        <m:r>
          <m:t>c</m:t>
        </m:r>
        <m:r>
          <m:t>h</m:t>
        </m:r>
        <m:r>
          <m:t>m</m:t>
        </m:r>
        <m:r>
          <m:t>a</m:t>
        </m:r>
        <m:r>
          <m:t>r</m:t>
        </m:r>
        <m:r>
          <m:t>k</m:t>
        </m:r>
        <m:r>
          <m:t>i</m:t>
        </m:r>
        <m:r>
          <m:t>s</m:t>
        </m:r>
        <m:r>
          <m:t>t</m:t>
        </m:r>
        <m:r>
          <m:t>h</m:t>
        </m:r>
        <m:r>
          <m:t>e</m:t>
        </m:r>
        <m:r>
          <m:t>r</m:t>
        </m:r>
        <m:r>
          <m:t>e</m:t>
        </m:r>
        <m:r>
          <m:t>f</m:t>
        </m:r>
        <m:r>
          <m:t>o</m:t>
        </m:r>
        <m:r>
          <m:t>r</m:t>
        </m:r>
        <m:r>
          <m:t>e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7.20–$7.35** rather than a single penny-level figure. (</w:t>
      </w:r>
      <w:hyperlink r:id="rId11">
        <w:r>
          <w:rPr>
            <w:rStyle w:val="Hyperlink"/>
          </w:rPr>
          <w:t xml:space="preserve">investing.com</w:t>
        </w:r>
      </w:hyperlink>
      <w:r>
        <w:t xml:space="preserve">)</w:t>
      </w:r>
    </w:p>
    <w:p>
      <w:pPr>
        <w:pStyle w:val="BodyText"/>
      </w:pPr>
      <w:r>
        <w:t xml:space="preserve">Last year’s Q2 was already strong, with an</w:t>
      </w:r>
      <w:r>
        <w:t xml:space="preserve"> </w:t>
      </w:r>
      <w:r>
        <w:rPr>
          <w:b/>
          <w:bCs/>
        </w:rPr>
        <w:t xml:space="preserve">18.4% company EBITDA margin</w:t>
      </w:r>
      <w:r>
        <w:t xml:space="preserve">, a</w:t>
      </w:r>
      <w:r>
        <w:t xml:space="preserve"> </w:t>
      </w:r>
      <w:r>
        <w:rPr>
          <w:b/>
          <w:bCs/>
        </w:rPr>
        <w:t xml:space="preserve">22.8% Power Systems margin</w:t>
      </w:r>
      <w:r>
        <w:t xml:space="preserve"> </w:t>
      </w:r>
      <w:r>
        <w:t xml:space="preserve">and a</w:t>
      </w:r>
      <w:r>
        <w:t xml:space="preserve"> </w:t>
      </w:r>
      <w:r>
        <w:rPr>
          <w:b/>
          <w:bCs/>
        </w:rPr>
        <w:t xml:space="preserve">14.6% Distribution margin</w:t>
      </w:r>
      <w:r>
        <w:t xml:space="preserve">. That makes the expected year-over-year earnings growth dependent on higher revenue, favorable mix and the recovery in Engines—not simply an easy comparison. (</w:t>
      </w:r>
      <w:hyperlink r:id="rId12">
        <w:r>
          <w:rPr>
            <w:rStyle w:val="Hyperlink"/>
          </w:rPr>
          <w:t xml:space="preserve">investor.cummins.com</w:t>
        </w:r>
      </w:hyperlink>
      <w:r>
        <w:t xml:space="preserve">)</w:t>
      </w:r>
    </w:p>
    <w:bookmarkEnd w:id="13"/>
    <w:bookmarkStart w:id="21" w:name="the-five-things-that-matter-most"/>
    <w:p>
      <w:pPr>
        <w:pStyle w:val="Heading2"/>
      </w:pPr>
      <w:r>
        <w:t xml:space="preserve">The five things that matter most</w:t>
      </w:r>
    </w:p>
    <w:bookmarkStart w:id="16" w:name="Xf18bae860cf06507159159229f1260f5f39f949"/>
    <w:p>
      <w:pPr>
        <w:pStyle w:val="Heading3"/>
      </w:pPr>
      <w:r>
        <w:t xml:space="preserve">1. Power Systems: strong growth is expected; margin quality is the test</w:t>
      </w:r>
    </w:p>
    <w:p>
      <w:pPr>
        <w:pStyle w:val="FirstParagraph"/>
      </w:pPr>
      <w:r>
        <w:t xml:space="preserve">Power Systems is now the centerpiece of the Cummins investment case.</w:t>
      </w:r>
    </w:p>
    <w:p>
      <w:pPr>
        <w:pStyle w:val="BodyText"/>
      </w:pPr>
      <w:r>
        <w:t xml:space="preserve">In Q1:</w:t>
      </w:r>
    </w:p>
    <w:p>
      <w:pPr>
        <w:pStyle w:val="Compact"/>
        <w:numPr>
          <w:ilvl w:val="0"/>
          <w:numId w:val="1002"/>
        </w:numPr>
      </w:pPr>
      <w:r>
        <w:t xml:space="preserve">Revenue increased 19% to approximately $2.0 billion.</w:t>
      </w:r>
    </w:p>
    <w:p>
      <w:pPr>
        <w:pStyle w:val="Compact"/>
        <w:numPr>
          <w:ilvl w:val="0"/>
          <w:numId w:val="1002"/>
        </w:numPr>
      </w:pPr>
      <w:r>
        <w:t xml:space="preserve">EBITDA margin reached</w:t>
      </w:r>
      <w:r>
        <w:t xml:space="preserve"> </w:t>
      </w:r>
      <w:r>
        <w:rPr>
          <w:b/>
          <w:bCs/>
        </w:rPr>
        <w:t xml:space="preserve">29.5%</w:t>
      </w:r>
      <w:r>
        <w:t xml:space="preserve">, versus 23.6% one year earlier.</w:t>
      </w:r>
    </w:p>
    <w:p>
      <w:pPr>
        <w:pStyle w:val="Compact"/>
        <w:numPr>
          <w:ilvl w:val="0"/>
          <w:numId w:val="1002"/>
        </w:numPr>
      </w:pPr>
      <w:r>
        <w:t xml:space="preserve">Growth was driven by data-center demand in North America, China and the rest of Asia-Pacific. (</w:t>
      </w:r>
      <w:hyperlink r:id="rId14">
        <w:r>
          <w:rPr>
            <w:rStyle w:val="Hyperlink"/>
          </w:rPr>
          <w:t xml:space="preserve">investor.cummins.com</w:t>
        </w:r>
      </w:hyperlink>
      <w:r>
        <w:t xml:space="preserve">)</w:t>
      </w:r>
    </w:p>
    <w:p>
      <w:pPr>
        <w:pStyle w:val="FirstParagraph"/>
      </w:pPr>
      <w:r>
        <w:t xml:space="preserve">Management cautioned that Q1 benefited from tariff recoveries and certain nonrecurring cost recoveries. It guided to a still-excellent</w:t>
      </w:r>
      <w:r>
        <w:t xml:space="preserve"> </w:t>
      </w:r>
      <w:r>
        <w:rPr>
          <w:b/>
          <w:bCs/>
        </w:rPr>
        <w:t xml:space="preserve">25%–26% full-year Power Systems margin</w:t>
      </w:r>
      <w:r>
        <w:t xml:space="preserve">, implying some normalization after Q1.</w:t>
      </w:r>
    </w:p>
    <w:p>
      <w:pPr>
        <w:pStyle w:val="BodyText"/>
      </w:pPr>
      <w:r>
        <w:t xml:space="preserve">For Q2, the best outcome would be:</w:t>
      </w:r>
    </w:p>
    <w:p>
      <w:pPr>
        <w:pStyle w:val="Compact"/>
        <w:numPr>
          <w:ilvl w:val="0"/>
          <w:numId w:val="1003"/>
        </w:numPr>
      </w:pPr>
      <w:r>
        <w:t xml:space="preserve">Power Systems revenue at or above the approximately</w:t>
      </w:r>
      <w:r>
        <w:t xml:space="preserve"> </w:t>
      </w:r>
      <w:r>
        <w:rPr>
          <w:b/>
          <w:bCs/>
        </w:rPr>
        <w:t xml:space="preserve">$2.18 billion</w:t>
      </w:r>
      <w:r>
        <w:t xml:space="preserve"> </w:t>
      </w:r>
      <w:r>
        <w:t xml:space="preserve">estimate;</w:t>
      </w:r>
    </w:p>
    <w:p>
      <w:pPr>
        <w:pStyle w:val="Compact"/>
        <w:numPr>
          <w:ilvl w:val="0"/>
          <w:numId w:val="1003"/>
        </w:numPr>
      </w:pPr>
      <w:r>
        <w:t xml:space="preserve">margin holding in the</w:t>
      </w:r>
      <w:r>
        <w:t xml:space="preserve"> </w:t>
      </w:r>
      <w:r>
        <w:rPr>
          <w:b/>
          <w:bCs/>
        </w:rPr>
        <w:t xml:space="preserve">mid-to-upper 20% range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continued multiyear order visibility;</w:t>
      </w:r>
    </w:p>
    <w:p>
      <w:pPr>
        <w:pStyle w:val="Compact"/>
        <w:numPr>
          <w:ilvl w:val="0"/>
          <w:numId w:val="1003"/>
        </w:numPr>
      </w:pPr>
      <w:r>
        <w:t xml:space="preserve">no meaningful project delays or supply constraints; and</w:t>
      </w:r>
    </w:p>
    <w:p>
      <w:pPr>
        <w:pStyle w:val="Compact"/>
        <w:numPr>
          <w:ilvl w:val="0"/>
          <w:numId w:val="1003"/>
        </w:numPr>
      </w:pPr>
      <w:r>
        <w:t xml:space="preserve">evidence that capacity additions are translating into shipments without sacrificing pricing or execution.</w:t>
      </w:r>
    </w:p>
    <w:p>
      <w:pPr>
        <w:pStyle w:val="FirstParagraph"/>
      </w:pPr>
      <w:r>
        <w:t xml:space="preserve">A result with strong revenue but a sharp margin decline would be less compelling. Conversely, a margin above 26% without relying on unusual recoveries would indicate that structural mix and operating leverage are stronger than management’s current guide suggests.</w:t>
      </w:r>
    </w:p>
    <w:p>
      <w:pPr>
        <w:pStyle w:val="BodyText"/>
      </w:pPr>
      <w:r>
        <w:t xml:space="preserve">At its May Analyst Day, Cummins raised its long-term targets and announced additional large-engine capacity and product investment, reflecting management’s confidence in sustained demand for reliable power. (</w:t>
      </w:r>
      <w:hyperlink r:id="rId15">
        <w:r>
          <w:rPr>
            <w:rStyle w:val="Hyperlink"/>
          </w:rPr>
          <w:t xml:space="preserve">investor.cummins.com</w:t>
        </w:r>
      </w:hyperlink>
      <w:r>
        <w:t xml:space="preserve">)</w:t>
      </w:r>
    </w:p>
    <w:bookmarkEnd w:id="16"/>
    <w:bookmarkStart w:id="17" w:name="Xcacb53651ac1ae43ca29b86cde2cde9a94a3ebf"/>
    <w:p>
      <w:pPr>
        <w:pStyle w:val="Heading3"/>
      </w:pPr>
      <w:r>
        <w:t xml:space="preserve">2. North American truck recovery and the EPA 2027 prebuy</w:t>
      </w:r>
    </w:p>
    <w:p>
      <w:pPr>
        <w:pStyle w:val="FirstParagraph"/>
      </w:pPr>
      <w:r>
        <w:t xml:space="preserve">The Engine and Components businesses were the weak spots in Q1:</w:t>
      </w:r>
    </w:p>
    <w:p>
      <w:pPr>
        <w:pStyle w:val="Compact"/>
        <w:numPr>
          <w:ilvl w:val="0"/>
          <w:numId w:val="1004"/>
        </w:numPr>
      </w:pPr>
      <w:r>
        <w:t xml:space="preserve">Engine revenue declined 4%, with a</w:t>
      </w:r>
      <w:r>
        <w:t xml:space="preserve"> </w:t>
      </w:r>
      <w:r>
        <w:rPr>
          <w:b/>
          <w:bCs/>
        </w:rPr>
        <w:t xml:space="preserve">10.4% EBITDA margin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Components revenue declined 5%, with a</w:t>
      </w:r>
      <w:r>
        <w:t xml:space="preserve"> </w:t>
      </w:r>
      <w:r>
        <w:rPr>
          <w:b/>
          <w:bCs/>
        </w:rPr>
        <w:t xml:space="preserve">13.3% margin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Lower North American medium- and heavy-duty truck production drove much of the pressure. (</w:t>
      </w:r>
      <w:hyperlink r:id="rId14">
        <w:r>
          <w:rPr>
            <w:rStyle w:val="Hyperlink"/>
          </w:rPr>
          <w:t xml:space="preserve">investor.cummins.com</w:t>
        </w:r>
      </w:hyperlink>
      <w:r>
        <w:t xml:space="preserve">)</w:t>
      </w:r>
    </w:p>
    <w:p>
      <w:pPr>
        <w:pStyle w:val="FirstParagraph"/>
      </w:pPr>
      <w:r>
        <w:t xml:space="preserve">Management nevertheless said Q2 should show a meaningful sequential step-up, followed by another improvement in Q3. Cummins was adding production capacity and shifts as truck demand recovered from its cyclical low.</w:t>
      </w:r>
    </w:p>
    <w:p>
      <w:pPr>
        <w:pStyle w:val="BodyText"/>
      </w:pPr>
      <w:r>
        <w:t xml:space="preserve">Key questions include:</w:t>
      </w:r>
    </w:p>
    <w:p>
      <w:pPr>
        <w:pStyle w:val="Compact"/>
        <w:numPr>
          <w:ilvl w:val="0"/>
          <w:numId w:val="1005"/>
        </w:numPr>
      </w:pPr>
      <w:r>
        <w:t xml:space="preserve">Did heavy- and medium-duty engine shipments rise as quickly as planned?</w:t>
      </w:r>
    </w:p>
    <w:p>
      <w:pPr>
        <w:pStyle w:val="Compact"/>
        <w:numPr>
          <w:ilvl w:val="0"/>
          <w:numId w:val="1005"/>
        </w:numPr>
      </w:pPr>
      <w:r>
        <w:t xml:space="preserve">Is the improvement based on healthier freight conditions, a regulatory prebuy, or both?</w:t>
      </w:r>
    </w:p>
    <w:p>
      <w:pPr>
        <w:pStyle w:val="Compact"/>
        <w:numPr>
          <w:ilvl w:val="0"/>
          <w:numId w:val="1005"/>
        </w:numPr>
      </w:pPr>
      <w:r>
        <w:t xml:space="preserve">Are suppliers keeping pace with higher build rates?</w:t>
      </w:r>
    </w:p>
    <w:p>
      <w:pPr>
        <w:pStyle w:val="Compact"/>
        <w:numPr>
          <w:ilvl w:val="0"/>
          <w:numId w:val="1005"/>
        </w:numPr>
      </w:pPr>
      <w:r>
        <w:t xml:space="preserve">Does management still expect North American heavy-duty industry production of</w:t>
      </w:r>
      <w:r>
        <w:t xml:space="preserve"> </w:t>
      </w:r>
      <w:r>
        <w:rPr>
          <w:b/>
          <w:bCs/>
        </w:rPr>
        <w:t xml:space="preserve">230,000–250,000 units</w:t>
      </w:r>
      <w:r>
        <w:t xml:space="preserve"> </w:t>
      </w:r>
      <w:r>
        <w:t xml:space="preserve">and medium-duty production of</w:t>
      </w:r>
      <w:r>
        <w:t xml:space="preserve"> </w:t>
      </w:r>
      <w:r>
        <w:rPr>
          <w:b/>
          <w:bCs/>
        </w:rPr>
        <w:t xml:space="preserve">125,000–135,000 units</w:t>
      </w:r>
      <w:r>
        <w:t xml:space="preserve"> </w:t>
      </w:r>
      <w:r>
        <w:t xml:space="preserve">for 2026?</w:t>
      </w:r>
    </w:p>
    <w:p>
      <w:pPr>
        <w:pStyle w:val="Compact"/>
        <w:numPr>
          <w:ilvl w:val="0"/>
          <w:numId w:val="1005"/>
        </w:numPr>
      </w:pPr>
      <w:r>
        <w:t xml:space="preserve">How much demand is being borrowed from 2027?</w:t>
      </w:r>
    </w:p>
    <w:p>
      <w:pPr>
        <w:pStyle w:val="FirstParagraph"/>
      </w:pPr>
      <w:r>
        <w:t xml:space="preserve">A stronger 2026 prebuy is positive for near-term earnings but potentially creates a deeper air pocket in early 2027. Investors should distinguish between</w:t>
      </w:r>
      <w:r>
        <w:t xml:space="preserve"> </w:t>
      </w:r>
      <w:r>
        <w:rPr>
          <w:b/>
          <w:bCs/>
        </w:rPr>
        <w:t xml:space="preserve">cyclical recovery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temporary regulatory pull-forward</w:t>
      </w:r>
      <w:r>
        <w:t xml:space="preserve">.</w:t>
      </w:r>
    </w:p>
    <w:bookmarkEnd w:id="17"/>
    <w:bookmarkStart w:id="18" w:name="X5b94aa3be3ac257b8ec66886601e423ed0a1cc4"/>
    <w:p>
      <w:pPr>
        <w:pStyle w:val="Heading3"/>
      </w:pPr>
      <w:r>
        <w:t xml:space="preserve">3. Full-year guidance may determine the stock reaction</w:t>
      </w:r>
    </w:p>
    <w:p>
      <w:pPr>
        <w:pStyle w:val="FirstParagraph"/>
      </w:pPr>
      <w:r>
        <w:t xml:space="preserve">Following Q1, Cummins raised its 2026 outlook to: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Revenue growth of 8%–11%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EBITDA margin of 17.75%–18.50%</w:t>
      </w:r>
      <w:r>
        <w:t xml:space="preserve">, excluding the Q1 fuel-cell disposition charge. (</w:t>
      </w:r>
      <w:hyperlink r:id="rId14">
        <w:r>
          <w:rPr>
            <w:rStyle w:val="Hyperlink"/>
          </w:rPr>
          <w:t xml:space="preserve">investor.cummins.com</w:t>
        </w:r>
      </w:hyperlink>
      <w:r>
        <w:t xml:space="preserve">)</w:t>
      </w:r>
    </w:p>
    <w:p>
      <w:pPr>
        <w:pStyle w:val="FirstParagraph"/>
      </w:pPr>
      <w:r>
        <w:t xml:space="preserve">Based on 2025 revenue of</w:t>
      </w:r>
      <w:r>
        <w:t xml:space="preserve"> </w:t>
      </w:r>
      <m:oMath>
        <m:r>
          <m:t>33.7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,</m:t>
        </m:r>
        <m:r>
          <m:t>t</m:t>
        </m:r>
        <m:r>
          <m:t>h</m:t>
        </m:r>
        <m:r>
          <m:t>a</m:t>
        </m:r>
        <m:r>
          <m:t>t</m:t>
        </m:r>
        <m:r>
          <m:t>i</m:t>
        </m:r>
        <m:r>
          <m:t>m</m:t>
        </m:r>
        <m:r>
          <m:t>p</m:t>
        </m:r>
        <m:r>
          <m:t>l</m:t>
        </m:r>
        <m:r>
          <m:t>i</m:t>
        </m:r>
        <m:r>
          <m:t>e</m:t>
        </m:r>
        <m:r>
          <m:t>s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36.4–$37.4 billion** of 2026 sales.</w:t>
      </w:r>
    </w:p>
    <w:p>
      <w:pPr>
        <w:pStyle w:val="BodyText"/>
      </w:pPr>
      <w:r>
        <w:t xml:space="preserve">If Q2 revenue is around $9.32 billion, Cummins would need average quarterly revenue of approximately: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$9.34 billion in Q3 and Q4</w:t>
      </w:r>
      <w:r>
        <w:t xml:space="preserve"> </w:t>
      </w:r>
      <w:r>
        <w:t xml:space="preserve">to reach the low end; and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$9.84 billion</w:t>
      </w:r>
      <w:r>
        <w:t xml:space="preserve"> </w:t>
      </w:r>
      <w:r>
        <w:t xml:space="preserve">to reach the high end.</w:t>
      </w:r>
    </w:p>
    <w:p>
      <w:pPr>
        <w:pStyle w:val="FirstParagraph"/>
      </w:pPr>
      <w:r>
        <w:t xml:space="preserve">That makes the high end dependent on a strong truck ramp, sustained power-generation deliveries and limited Q4 seasonality.</w:t>
      </w:r>
    </w:p>
    <w:p>
      <w:pPr>
        <w:pStyle w:val="BodyText"/>
      </w:pPr>
      <w:r>
        <w:rPr>
          <w:b/>
          <w:bCs/>
        </w:rPr>
        <w:t xml:space="preserve">My read on the likely reaction: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Raise:</w:t>
      </w:r>
      <w:r>
        <w:t xml:space="preserve"> </w:t>
      </w:r>
      <w:r>
        <w:t xml:space="preserve">Clearly positive, particularly if driven by Power Systems volume and Engine recovery rather than one-time items.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Reaffirm with stronger second-half commentary:</w:t>
      </w:r>
      <w:r>
        <w:t xml:space="preserve"> </w:t>
      </w:r>
      <w:r>
        <w:t xml:space="preserve">Probably acceptable, but the stock may need above-consensus Q2 margins to respond positively.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Reaffirm with increased caution:</w:t>
      </w:r>
      <w:r>
        <w:t xml:space="preserve"> </w:t>
      </w:r>
      <w:r>
        <w:t xml:space="preserve">Potentially disappointing given the share-price appreciation and management’s previously bullish comments.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Reduction:</w:t>
      </w:r>
      <w:r>
        <w:t xml:space="preserve"> </w:t>
      </w:r>
      <w:r>
        <w:t xml:space="preserve">A major negative unless tied to an isolated, clearly temporary issue.</w:t>
      </w:r>
    </w:p>
    <w:bookmarkEnd w:id="18"/>
    <w:bookmarkStart w:id="19" w:name="Xf7a0a347341549147193171376e02760313ae74"/>
    <w:p>
      <w:pPr>
        <w:pStyle w:val="Heading3"/>
      </w:pPr>
      <w:r>
        <w:t xml:space="preserve">4. Accelera needs to demonstrate a cleaner loss trajectory</w:t>
      </w:r>
    </w:p>
    <w:p>
      <w:pPr>
        <w:pStyle w:val="FirstParagraph"/>
      </w:pPr>
      <w:r>
        <w:t xml:space="preserve">Q1 Accelera EBITDA was a</w:t>
      </w:r>
      <w:r>
        <w:t xml:space="preserve"> </w:t>
      </w:r>
      <w:r>
        <w:rPr>
          <w:b/>
          <w:bCs/>
        </w:rPr>
        <w:t xml:space="preserve">$277 million loss</w:t>
      </w:r>
      <w:r>
        <w:t xml:space="preserve">, but that included a</w:t>
      </w:r>
      <w:r>
        <w:t xml:space="preserve"> </w:t>
      </w:r>
      <m:oMath>
        <m:r>
          <m:t>199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c</m:t>
        </m:r>
        <m:r>
          <m:t>h</m:t>
        </m:r>
        <m:r>
          <m:t>a</m:t>
        </m:r>
        <m:r>
          <m:t>r</m:t>
        </m:r>
        <m:r>
          <m:t>g</m:t>
        </m:r>
        <m:r>
          <m:t>e</m:t>
        </m:r>
        <m:r>
          <m:t>a</m:t>
        </m:r>
        <m:r>
          <m:t>s</m:t>
        </m:r>
        <m:r>
          <m:t>s</m:t>
        </m:r>
        <m:r>
          <m:t>o</m:t>
        </m:r>
        <m:r>
          <m:t>c</m:t>
        </m:r>
        <m:r>
          <m:t>i</m:t>
        </m:r>
        <m:r>
          <m:t>a</m:t>
        </m:r>
        <m:r>
          <m:t>t</m:t>
        </m:r>
        <m:r>
          <m:t>e</m:t>
        </m:r>
        <m:r>
          <m:t>d</m:t>
        </m:r>
        <m:r>
          <m:t>w</m:t>
        </m:r>
        <m:r>
          <m:t>i</m:t>
        </m:r>
        <m:r>
          <m:t>t</m:t>
        </m:r>
        <m:r>
          <m:t>h</m:t>
        </m:r>
        <m:r>
          <m:t>t</m:t>
        </m:r>
        <m:r>
          <m:t>h</m:t>
        </m:r>
        <m:r>
          <m:t>e</m:t>
        </m:r>
        <m:r>
          <m:t>s</m:t>
        </m:r>
        <m:r>
          <m:t>a</m:t>
        </m:r>
        <m:r>
          <m:t>l</m:t>
        </m:r>
        <m:r>
          <m:t>e</m:t>
        </m:r>
        <m:r>
          <m:t>o</m:t>
        </m:r>
        <m:r>
          <m:t>f</m:t>
        </m:r>
        <m:r>
          <m:t>t</m:t>
        </m:r>
        <m:r>
          <m:t>h</m:t>
        </m:r>
        <m:r>
          <m:t>e</m:t>
        </m:r>
        <m:r>
          <m:t>l</m:t>
        </m:r>
        <m:r>
          <m:t>o</m:t>
        </m:r>
        <m:r>
          <m:t>w</m:t>
        </m:r>
        <m:r>
          <m:rPr>
            <m:sty m:val="p"/>
          </m:rPr>
          <m:t>−</m:t>
        </m:r>
        <m:r>
          <m:t>p</m:t>
        </m:r>
        <m:r>
          <m:t>r</m:t>
        </m:r>
        <m:r>
          <m:t>e</m:t>
        </m:r>
        <m:r>
          <m:t>s</m:t>
        </m:r>
        <m:r>
          <m:t>s</m:t>
        </m:r>
        <m:r>
          <m:t>u</m:t>
        </m:r>
        <m:r>
          <m:t>r</m:t>
        </m:r>
        <m:r>
          <m:t>e</m:t>
        </m:r>
        <m:r>
          <m:t>f</m:t>
        </m:r>
        <m:r>
          <m:t>u</m:t>
        </m:r>
        <m:r>
          <m:t>e</m:t>
        </m:r>
        <m:r>
          <m:t>l</m:t>
        </m:r>
        <m:r>
          <m:rPr>
            <m:sty m:val="p"/>
          </m:rPr>
          <m:t>−</m:t>
        </m:r>
        <m:r>
          <m:t>c</m:t>
        </m:r>
        <m:r>
          <m:t>e</m:t>
        </m:r>
        <m:r>
          <m:t>l</m:t>
        </m:r>
        <m:r>
          <m:t>l</m:t>
        </m:r>
        <m:r>
          <m:t>b</m:t>
        </m:r>
        <m:r>
          <m:t>u</m:t>
        </m:r>
        <m:r>
          <m:t>s</m:t>
        </m:r>
        <m:r>
          <m:t>i</m:t>
        </m:r>
        <m:r>
          <m:t>n</m:t>
        </m:r>
        <m:r>
          <m:t>e</m:t>
        </m:r>
        <m:r>
          <m:t>s</m:t>
        </m:r>
        <m:r>
          <m:t>s</m:t>
        </m:r>
        <m:r>
          <m:rPr>
            <m:sty m:val="p"/>
          </m:rPr>
          <m:t>.</m:t>
        </m:r>
        <m:r>
          <m:t>E</m:t>
        </m:r>
        <m:r>
          <m:t>x</m:t>
        </m:r>
        <m:r>
          <m:t>c</m:t>
        </m:r>
        <m:r>
          <m:t>l</m:t>
        </m:r>
        <m:r>
          <m:t>u</m:t>
        </m:r>
        <m:r>
          <m:t>d</m:t>
        </m:r>
        <m:r>
          <m:t>i</m:t>
        </m:r>
        <m:r>
          <m:t>n</m:t>
        </m:r>
        <m:r>
          <m:t>g</m:t>
        </m:r>
        <m:r>
          <m:t>t</m:t>
        </m:r>
        <m:r>
          <m:t>h</m:t>
        </m:r>
        <m:r>
          <m:t>e</m:t>
        </m:r>
        <m:r>
          <m:t>c</m:t>
        </m:r>
        <m:r>
          <m:t>h</m:t>
        </m:r>
        <m:r>
          <m:t>a</m:t>
        </m:r>
        <m:r>
          <m:t>r</m:t>
        </m:r>
        <m:r>
          <m:t>g</m:t>
        </m:r>
        <m:r>
          <m:t>e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l</m:t>
        </m:r>
        <m:r>
          <m:t>o</m:t>
        </m:r>
        <m:r>
          <m:t>s</m:t>
        </m:r>
        <m:r>
          <m:t>s</m:t>
        </m:r>
        <m:r>
          <m:t>w</m:t>
        </m:r>
        <m:r>
          <m:t>a</m:t>
        </m:r>
        <m:r>
          <m:t>s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78 million**, an improvement from $86 million one year earlier. (</w:t>
      </w:r>
      <w:hyperlink r:id="rId14">
        <w:r>
          <w:rPr>
            <w:rStyle w:val="Hyperlink"/>
          </w:rPr>
          <w:t xml:space="preserve">investor.cummins.com</w:t>
        </w:r>
      </w:hyperlink>
      <w:r>
        <w:t xml:space="preserve">)</w:t>
      </w:r>
    </w:p>
    <w:p>
      <w:pPr>
        <w:pStyle w:val="BodyText"/>
      </w:pPr>
      <w:r>
        <w:t xml:space="preserve">Management’s full-year adjusted loss forecast is approximately</w:t>
      </w:r>
      <w:r>
        <w:t xml:space="preserve"> </w:t>
      </w:r>
      <m:oMath>
        <m:r>
          <m:t>270</m:t>
        </m:r>
        <m:r>
          <m:rPr>
            <m:sty m:val="p"/>
          </m:rPr>
          <m:t>–</m:t>
        </m:r>
      </m:oMath>
      <w:r>
        <w:rPr>
          <w:b/>
          <w:bCs/>
        </w:rPr>
        <w:t xml:space="preserve">300 million</w:t>
      </w:r>
      <w:r>
        <w:t xml:space="preserve">.</w:t>
      </w:r>
    </w:p>
    <w:p>
      <w:pPr>
        <w:pStyle w:val="BodyText"/>
      </w:pPr>
      <w:r>
        <w:t xml:space="preserve">Investors should look for:</w:t>
      </w:r>
    </w:p>
    <w:p>
      <w:pPr>
        <w:pStyle w:val="Compact"/>
        <w:numPr>
          <w:ilvl w:val="0"/>
          <w:numId w:val="1009"/>
        </w:numPr>
      </w:pPr>
      <w:r>
        <w:t xml:space="preserve">a quarterly loss below the $100 million reported in Q2 2025;</w:t>
      </w:r>
    </w:p>
    <w:p>
      <w:pPr>
        <w:pStyle w:val="Compact"/>
        <w:numPr>
          <w:ilvl w:val="0"/>
          <w:numId w:val="1009"/>
        </w:numPr>
      </w:pPr>
      <w:r>
        <w:t xml:space="preserve">lower hydrogen and electrolyzer-related cash requirements;</w:t>
      </w:r>
    </w:p>
    <w:p>
      <w:pPr>
        <w:pStyle w:val="Compact"/>
        <w:numPr>
          <w:ilvl w:val="0"/>
          <w:numId w:val="1009"/>
        </w:numPr>
      </w:pPr>
      <w:r>
        <w:t xml:space="preserve">evidence that portfolio exits are reducing overhead;</w:t>
      </w:r>
    </w:p>
    <w:p>
      <w:pPr>
        <w:pStyle w:val="Compact"/>
        <w:numPr>
          <w:ilvl w:val="0"/>
          <w:numId w:val="1009"/>
        </w:numPr>
      </w:pPr>
      <w:r>
        <w:t xml:space="preserve">disciplined spending on battery-electric powertrains; and</w:t>
      </w:r>
    </w:p>
    <w:p>
      <w:pPr>
        <w:pStyle w:val="Compact"/>
        <w:numPr>
          <w:ilvl w:val="0"/>
          <w:numId w:val="1009"/>
        </w:numPr>
      </w:pPr>
      <w:r>
        <w:t xml:space="preserve">no additional large restructuring or customer-settlement charges.</w:t>
      </w:r>
    </w:p>
    <w:p>
      <w:pPr>
        <w:pStyle w:val="FirstParagraph"/>
      </w:pPr>
      <w:r>
        <w:t xml:space="preserve">Accelera is no longer expected to drive the valuation, but continued loss reduction can provide a meaningful earnings tailwind.</w:t>
      </w:r>
    </w:p>
    <w:bookmarkEnd w:id="19"/>
    <w:bookmarkStart w:id="20" w:name="X68deaba0841b74df9272ab27a7a0cdab27cebdf"/>
    <w:p>
      <w:pPr>
        <w:pStyle w:val="Heading3"/>
      </w:pPr>
      <w:r>
        <w:t xml:space="preserve">5. Cash conversion and capital returns</w:t>
      </w:r>
    </w:p>
    <w:p>
      <w:pPr>
        <w:pStyle w:val="FirstParagraph"/>
      </w:pPr>
      <w:r>
        <w:t xml:space="preserve">Cummins returned</w:t>
      </w:r>
      <w:r>
        <w:t xml:space="preserve"> </w:t>
      </w:r>
      <w:r>
        <w:rPr>
          <w:b/>
          <w:bCs/>
        </w:rPr>
        <w:t xml:space="preserve">$519 million</w:t>
      </w:r>
      <w:r>
        <w:t xml:space="preserve"> </w:t>
      </w:r>
      <w:r>
        <w:t xml:space="preserve">to shareholders in Q1 through dividends and repurchases, but operating cash flow was only $309 million as receivables and inventories increased. Management remains committed to returning approximately 50% of operating cash flow to shareholders. (</w:t>
      </w:r>
      <w:hyperlink r:id="rId14">
        <w:r>
          <w:rPr>
            <w:rStyle w:val="Hyperlink"/>
          </w:rPr>
          <w:t xml:space="preserve">investor.cummins.com</w:t>
        </w:r>
      </w:hyperlink>
      <w:r>
        <w:t xml:space="preserve">)</w:t>
      </w:r>
    </w:p>
    <w:p>
      <w:pPr>
        <w:pStyle w:val="BodyText"/>
      </w:pPr>
      <w:r>
        <w:t xml:space="preserve">Q2 should normally bring better cash generation. Watch:</w:t>
      </w:r>
    </w:p>
    <w:p>
      <w:pPr>
        <w:pStyle w:val="Compact"/>
        <w:numPr>
          <w:ilvl w:val="0"/>
          <w:numId w:val="1010"/>
        </w:numPr>
      </w:pPr>
      <w:r>
        <w:t xml:space="preserve">operating cash flow relative to net income;</w:t>
      </w:r>
    </w:p>
    <w:p>
      <w:pPr>
        <w:pStyle w:val="Compact"/>
        <w:numPr>
          <w:ilvl w:val="0"/>
          <w:numId w:val="1010"/>
        </w:numPr>
      </w:pPr>
      <w:r>
        <w:t xml:space="preserve">inventory required for the truck and power-generation ramps;</w:t>
      </w:r>
    </w:p>
    <w:p>
      <w:pPr>
        <w:pStyle w:val="Compact"/>
        <w:numPr>
          <w:ilvl w:val="0"/>
          <w:numId w:val="1010"/>
        </w:numPr>
      </w:pPr>
      <w:r>
        <w:t xml:space="preserve">capital spending on Power Systems capacity;</w:t>
      </w:r>
    </w:p>
    <w:p>
      <w:pPr>
        <w:pStyle w:val="Compact"/>
        <w:numPr>
          <w:ilvl w:val="0"/>
          <w:numId w:val="1010"/>
        </w:numPr>
      </w:pPr>
      <w:r>
        <w:t xml:space="preserve">buyback activity; and</w:t>
      </w:r>
    </w:p>
    <w:p>
      <w:pPr>
        <w:pStyle w:val="Compact"/>
        <w:numPr>
          <w:ilvl w:val="0"/>
          <w:numId w:val="1010"/>
        </w:numPr>
      </w:pPr>
      <w:r>
        <w:t xml:space="preserve">any update to the dividend.</w:t>
      </w:r>
    </w:p>
    <w:p>
      <w:pPr>
        <w:pStyle w:val="FirstParagraph"/>
      </w:pPr>
      <w:r>
        <w:t xml:space="preserve">Strong earnings accompanied by weak cash conversion would raise questions about working-capital intensity and the cost of supporting rapid data-center growth.</w:t>
      </w:r>
    </w:p>
    <w:bookmarkEnd w:id="20"/>
    <w:bookmarkEnd w:id="21"/>
    <w:bookmarkStart w:id="25" w:name="bull-base-and-bear-frameworks"/>
    <w:p>
      <w:pPr>
        <w:pStyle w:val="Heading2"/>
      </w:pPr>
      <w:r>
        <w:t xml:space="preserve">Bull, base and bear frameworks</w:t>
      </w:r>
    </w:p>
    <w:bookmarkStart w:id="22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1"/>
        </w:numPr>
      </w:pPr>
      <w:r>
        <w:t xml:space="preserve">Revenue above</w:t>
      </w:r>
      <w:r>
        <w:t xml:space="preserve"> </w:t>
      </w:r>
      <w:r>
        <w:rPr>
          <w:b/>
          <w:bCs/>
        </w:rPr>
        <w:t xml:space="preserve">$9.4 billion</w:t>
      </w:r>
    </w:p>
    <w:p>
      <w:pPr>
        <w:pStyle w:val="Compact"/>
        <w:numPr>
          <w:ilvl w:val="0"/>
          <w:numId w:val="1011"/>
        </w:numPr>
      </w:pPr>
      <w:r>
        <w:t xml:space="preserve">Adjusted EPS above roughly</w:t>
      </w:r>
      <w:r>
        <w:t xml:space="preserve"> </w:t>
      </w:r>
      <w:r>
        <w:rPr>
          <w:b/>
          <w:bCs/>
        </w:rPr>
        <w:t xml:space="preserve">$7.40</w:t>
      </w:r>
    </w:p>
    <w:p>
      <w:pPr>
        <w:pStyle w:val="Compact"/>
        <w:numPr>
          <w:ilvl w:val="0"/>
          <w:numId w:val="1011"/>
        </w:numPr>
      </w:pPr>
      <w:r>
        <w:t xml:space="preserve">Power Systems margin remains above 26% on a clean basis</w:t>
      </w:r>
    </w:p>
    <w:p>
      <w:pPr>
        <w:pStyle w:val="Compact"/>
        <w:numPr>
          <w:ilvl w:val="0"/>
          <w:numId w:val="1011"/>
        </w:numPr>
      </w:pPr>
      <w:r>
        <w:t xml:space="preserve">Engine and Components margins show clear sequential recovery</w:t>
      </w:r>
    </w:p>
    <w:p>
      <w:pPr>
        <w:pStyle w:val="Compact"/>
        <w:numPr>
          <w:ilvl w:val="0"/>
          <w:numId w:val="1011"/>
        </w:numPr>
      </w:pPr>
      <w:r>
        <w:t xml:space="preserve">Management raises revenue and/or EBITDA guidance</w:t>
      </w:r>
    </w:p>
    <w:p>
      <w:pPr>
        <w:pStyle w:val="Compact"/>
        <w:numPr>
          <w:ilvl w:val="0"/>
          <w:numId w:val="1011"/>
        </w:numPr>
      </w:pPr>
      <w:r>
        <w:t xml:space="preserve">Data-center backlog and lead-time commentary remains robust</w:t>
      </w:r>
    </w:p>
    <w:bookmarkEnd w:id="22"/>
    <w:bookmarkStart w:id="23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2"/>
        </w:numPr>
      </w:pPr>
      <w:r>
        <w:t xml:space="preserve">Revenue around</w:t>
      </w:r>
      <w:r>
        <w:t xml:space="preserve"> </w:t>
      </w:r>
      <w:r>
        <w:rPr>
          <w:b/>
          <w:bCs/>
        </w:rPr>
        <w:t xml:space="preserve">$9.3 billion</w:t>
      </w:r>
    </w:p>
    <w:p>
      <w:pPr>
        <w:pStyle w:val="Compact"/>
        <w:numPr>
          <w:ilvl w:val="0"/>
          <w:numId w:val="1012"/>
        </w:numPr>
      </w:pPr>
      <w:r>
        <w:t xml:space="preserve">Adjusted EPS around</w:t>
      </w:r>
      <w:r>
        <w:t xml:space="preserve"> </w:t>
      </w:r>
      <m:oMath>
        <m:r>
          <m:t>7.20</m:t>
        </m:r>
        <m:r>
          <m:rPr>
            <m:sty m:val="p"/>
          </m:rPr>
          <m:t>–</m:t>
        </m:r>
      </m:oMath>
      <w:r>
        <w:rPr>
          <w:b/>
          <w:bCs/>
        </w:rPr>
        <w:t xml:space="preserve">7.35</w:t>
      </w:r>
    </w:p>
    <w:p>
      <w:pPr>
        <w:pStyle w:val="Compact"/>
        <w:numPr>
          <w:ilvl w:val="0"/>
          <w:numId w:val="1012"/>
        </w:numPr>
      </w:pPr>
      <w:r>
        <w:t xml:space="preserve">Power Systems margin normalizes into the 25%–26% area</w:t>
      </w:r>
    </w:p>
    <w:p>
      <w:pPr>
        <w:pStyle w:val="Compact"/>
        <w:numPr>
          <w:ilvl w:val="0"/>
          <w:numId w:val="1012"/>
        </w:numPr>
      </w:pPr>
      <w:r>
        <w:t xml:space="preserve">Truck production ramps as expected</w:t>
      </w:r>
    </w:p>
    <w:p>
      <w:pPr>
        <w:pStyle w:val="Compact"/>
        <w:numPr>
          <w:ilvl w:val="0"/>
          <w:numId w:val="1012"/>
        </w:numPr>
      </w:pPr>
      <w:r>
        <w:t xml:space="preserve">Full-year guidance is reaffirmed, with management pointing to a strong Q3</w:t>
      </w:r>
    </w:p>
    <w:p>
      <w:pPr>
        <w:pStyle w:val="FirstParagraph"/>
      </w:pPr>
      <w:r>
        <w:t xml:space="preserve">This would confirm the operating thesis, although the stock reaction could be muted because much of the improvement appears priced in.</w:t>
      </w:r>
    </w:p>
    <w:bookmarkEnd w:id="23"/>
    <w:bookmarkStart w:id="24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3"/>
        </w:numPr>
      </w:pPr>
      <w:r>
        <w:t xml:space="preserve">Revenue below approximately</w:t>
      </w:r>
      <w:r>
        <w:t xml:space="preserve"> </w:t>
      </w:r>
      <w:r>
        <w:rPr>
          <w:b/>
          <w:bCs/>
        </w:rPr>
        <w:t xml:space="preserve">$9.1 billion</w:t>
      </w:r>
    </w:p>
    <w:p>
      <w:pPr>
        <w:pStyle w:val="Compact"/>
        <w:numPr>
          <w:ilvl w:val="0"/>
          <w:numId w:val="1013"/>
        </w:numPr>
      </w:pPr>
      <w:r>
        <w:t xml:space="preserve">Power Systems margin falls materially below 25%</w:t>
      </w:r>
    </w:p>
    <w:p>
      <w:pPr>
        <w:pStyle w:val="Compact"/>
        <w:numPr>
          <w:ilvl w:val="0"/>
          <w:numId w:val="1013"/>
        </w:numPr>
      </w:pPr>
      <w:r>
        <w:t xml:space="preserve">Data-center orders, deliveries or customer schedules soften</w:t>
      </w:r>
    </w:p>
    <w:p>
      <w:pPr>
        <w:pStyle w:val="Compact"/>
        <w:numPr>
          <w:ilvl w:val="0"/>
          <w:numId w:val="1013"/>
        </w:numPr>
      </w:pPr>
      <w:r>
        <w:t xml:space="preserve">Truck production is limited by demand or supplier constraints</w:t>
      </w:r>
    </w:p>
    <w:p>
      <w:pPr>
        <w:pStyle w:val="Compact"/>
        <w:numPr>
          <w:ilvl w:val="0"/>
          <w:numId w:val="1013"/>
        </w:numPr>
      </w:pPr>
      <w:r>
        <w:t xml:space="preserve">Accelera losses remain near or above last year’s level</w:t>
      </w:r>
    </w:p>
    <w:p>
      <w:pPr>
        <w:pStyle w:val="Compact"/>
        <w:numPr>
          <w:ilvl w:val="0"/>
          <w:numId w:val="1013"/>
        </w:numPr>
      </w:pPr>
      <w:r>
        <w:t xml:space="preserve">Management becomes more cautious on the second half or lowers guidance</w:t>
      </w:r>
    </w:p>
    <w:bookmarkEnd w:id="24"/>
    <w:bookmarkEnd w:id="25"/>
    <w:bookmarkStart w:id="26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Cummins should report a strong quarter, but</w:t>
      </w:r>
      <w:r>
        <w:t xml:space="preserve"> </w:t>
      </w:r>
      <w:r>
        <w:rPr>
          <w:b/>
          <w:bCs/>
        </w:rPr>
        <w:t xml:space="preserve">the hurdle is higher than the published consensus</w:t>
      </w:r>
      <w:r>
        <w:t xml:space="preserve">. The market already expects data-center growth, a truck rebound and significant earnings improvement.</w:t>
      </w:r>
    </w:p>
    <w:p>
      <w:pPr>
        <w:pStyle w:val="BodyText"/>
      </w:pPr>
      <w:r>
        <w:t xml:space="preserve">The most important indicators are: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Underlying Power Systems margin after removing unusual benefits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Data-center backlog and capacity-utilization commentary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Sequential Engine and Components margin recovery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The degree of 2027 truck-demand pull-forward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Whether full-year guidance moves higher</w:t>
      </w:r>
    </w:p>
    <w:p>
      <w:pPr>
        <w:pStyle w:val="FirstParagraph"/>
      </w:pPr>
      <w:r>
        <w:t xml:space="preserve">A modest EPS beat with unchanged guidance may not be enough to drive further material upside. The strongest report would combine</w:t>
      </w:r>
      <w:r>
        <w:t xml:space="preserve"> </w:t>
      </w:r>
      <w:r>
        <w:rPr>
          <w:b/>
          <w:bCs/>
        </w:rPr>
        <w:t xml:space="preserve">mid-teens Power Systems growth, mid-to-upper-20% segment margins, broad improvement in the truck-linked businesses and a higher 2026 outlook</w:t>
      </w:r>
      <w:r>
        <w:t xml:space="preserve">. Conversely, any suggestion that data-center growth is slowing or that Power Systems margins have peaked would challenge the principal reason CMI’s valuation has expanded.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https://investor.cummins.com/news/detail/694/cummins-delivered-strong-operating-results-and-returned" TargetMode="External" /><Relationship Type="http://schemas.openxmlformats.org/officeDocument/2006/relationships/hyperlink" Id="rId15" Target="https://investor.cummins.com/news/detail/696/cummins-raises-2030-financial-targets-announces" TargetMode="External" /><Relationship Type="http://schemas.openxmlformats.org/officeDocument/2006/relationships/hyperlink" Id="rId12" Target="https://investor.cummins.com/sec-filings/all-sec-filings/content/0000026172-25-000029/0000026172-25-000029.pdf" TargetMode="External" /><Relationship Type="http://schemas.openxmlformats.org/officeDocument/2006/relationships/hyperlink" Id="rId11" Target="https://www.investing.com/equities/cummins-inc-earnings?utm_source=openai" TargetMode="External" /><Relationship Type="http://schemas.openxmlformats.org/officeDocument/2006/relationships/hyperlink" Id="rId9" Target="https://www.marketbeat.com/earnings/reports/2026-8-4-cummins-inc-stock/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https://investor.cummins.com/news/detail/694/cummins-delivered-strong-operating-results-and-returned" TargetMode="External" /><Relationship Type="http://schemas.openxmlformats.org/officeDocument/2006/relationships/hyperlink" Id="rId15" Target="https://investor.cummins.com/news/detail/696/cummins-raises-2030-financial-targets-announces" TargetMode="External" /><Relationship Type="http://schemas.openxmlformats.org/officeDocument/2006/relationships/hyperlink" Id="rId12" Target="https://investor.cummins.com/sec-filings/all-sec-filings/content/0000026172-25-000029/0000026172-25-000029.pdf" TargetMode="External" /><Relationship Type="http://schemas.openxmlformats.org/officeDocument/2006/relationships/hyperlink" Id="rId11" Target="https://www.investing.com/equities/cummins-inc-earnings?utm_source=openai" TargetMode="External" /><Relationship Type="http://schemas.openxmlformats.org/officeDocument/2006/relationships/hyperlink" Id="rId9" Target="https://www.marketbeat.com/earnings/reports/2026-8-4-cummins-inc-stock/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2026-08-04T01:02:44Z</dcterms:created>
  <dcterms:modified xsi:type="dcterms:W3CDTF">2026-08-04T01:02:44Z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