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mi-earnings-predictions--2026-08-04"/>
    <w:p>
      <w:pPr>
        <w:pStyle w:val="Heading1"/>
      </w:pPr>
      <w:r>
        <w:t xml:space="preserve">CMI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~$9.47B vs. cons $9.32B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~$7.42 vs. cons $7.19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Power Systems Q2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~$2.25B vs. cons $2.18B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total-company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~10.5% vs. cons 10.0%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EBITDA margin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~18.35% vs. cons 18.15%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Power Systems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~18.5% vs. cons 16.5%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Accelera EBITDA loss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~-</w:t>
            </w:r>
            <m:oMath>
              <m:r>
                <m:t>285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−</m:t>
              </m:r>
            </m:oMath>
            <w:r>
              <w:t xml:space="preserve">285M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+5.0% (FOLLOW-THROUGH)</w:t>
            </w:r>
          </w:p>
        </w:tc>
        <w:tc>
          <w:tcPr/>
          <w:p>
            <w:pPr>
              <w:pStyle w:val="Compact"/>
            </w:pPr>
            <w:r>
              <w:t xml:space="preserve">A Power Systems-led beat plus a ~10.5% FY2026 revenue outlook versus ~10.0% consensus should lift out-period revenue and EBITDA estimates; the higher ~18.5% Power Systems growth outlook supports durable data-center demand rather than a one-quarter margin-driven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2026-08-04T01:02:11Z</dcterms:created>
  <dcterms:modified xsi:type="dcterms:W3CDTF">2026-08-04T01:02:11Z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