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cummins-cmi-q2-2026-earnings-preview"/>
    <w:p>
      <w:pPr>
        <w:pStyle w:val="Heading1"/>
      </w:pPr>
      <w:r>
        <w:t xml:space="preserve">Cummins (CMI) Q2 2026 Earnings Preview</w:t>
      </w:r>
    </w:p>
    <w:p>
      <w:pPr>
        <w:pStyle w:val="BlockText"/>
      </w:pPr>
      <w:r>
        <w:rPr>
          <w:b/>
          <w:bCs/>
        </w:rPr>
        <w:t xml:space="preserve">Timing note:</w:t>
      </w:r>
      <w:r>
        <w:t xml:space="preserve"> </w:t>
      </w:r>
      <w:r>
        <w:t xml:space="preserve">August 4, 2026 is</w:t>
      </w:r>
      <w:r>
        <w:t xml:space="preserve"> </w:t>
      </w:r>
      <w:r>
        <w:rPr>
          <w:b/>
          <w:bCs/>
        </w:rPr>
        <w:t xml:space="preserve">today</w:t>
      </w:r>
      <w:r>
        <w:t xml:space="preserve">, not tomorrow. This preview is therefore framed for CMI’s expected</w:t>
      </w:r>
      <w:r>
        <w:t xml:space="preserve"> </w:t>
      </w:r>
      <w:r>
        <w:rPr>
          <w:b/>
          <w:bCs/>
        </w:rPr>
        <w:t xml:space="preserve">Q2 2026 release/call today before the U.S. market opens</w:t>
      </w:r>
      <w:r>
        <w:t xml:space="preserve">.</w:t>
      </w:r>
    </w:p>
    <w:bookmarkStart w:id="9" w:name="bottom-line"/>
    <w:p>
      <w:pPr>
        <w:pStyle w:val="Heading2"/>
      </w:pPr>
      <w:r>
        <w:t xml:space="preserve">Bottom line</w:t>
      </w:r>
    </w:p>
    <w:p>
      <w:pPr>
        <w:pStyle w:val="FirstParagraph"/>
      </w:pPr>
      <w:r>
        <w:t xml:space="preserve">Cummins enters Q2 with a favorable setup—but also a high bar. The central debate is no longer whether</w:t>
      </w:r>
      <w:r>
        <w:t xml:space="preserve"> </w:t>
      </w:r>
      <w:r>
        <w:rPr>
          <w:b/>
          <w:bCs/>
        </w:rPr>
        <w:t xml:space="preserve">Power Systems</w:t>
      </w:r>
      <w:r>
        <w:t xml:space="preserve"> </w:t>
      </w:r>
      <w:r>
        <w:t xml:space="preserve">is strong; it is whether data-center-driven power demand, an improving North American truck backdrop, and reduced Accelera losses are strong enough to support another guidance raise or, at minimum, reinforce confidence in the company’s newly elevated medium-term targets.</w:t>
      </w:r>
    </w:p>
    <w:p>
      <w:pPr>
        <w:pStyle w:val="BodyText"/>
      </w:pPr>
      <w:r>
        <w:t xml:space="preserve">The Street is looking for approximately</w:t>
      </w:r>
      <w:r>
        <w:t xml:space="preserve"> </w:t>
      </w:r>
      <m:oMath>
        <m:r>
          <m:t>9.32</m:t>
        </m:r>
        <m:r>
          <m:t>b</m:t>
        </m:r>
        <m:r>
          <m:t>i</m:t>
        </m:r>
        <m:r>
          <m:t>l</m:t>
        </m:r>
        <m:r>
          <m:t>l</m:t>
        </m:r>
        <m:r>
          <m:t>i</m:t>
        </m:r>
        <m:r>
          <m:t>o</m:t>
        </m:r>
        <m:r>
          <m:t>n</m:t>
        </m:r>
        <m:r>
          <m:t>o</m:t>
        </m:r>
        <m:r>
          <m:t>f</m:t>
        </m:r>
        <m:r>
          <m:t>r</m:t>
        </m:r>
        <m:r>
          <m:t>e</m:t>
        </m:r>
        <m:r>
          <m:t>v</m:t>
        </m:r>
        <m:r>
          <m:t>e</m:t>
        </m:r>
        <m:r>
          <m:t>n</m:t>
        </m:r>
        <m:r>
          <m:t>u</m:t>
        </m:r>
        <m:r>
          <m:t>e</m:t>
        </m:r>
        <m:r>
          <m:rPr>
            <m:sty m:val="p"/>
          </m:rPr>
          <m:t>*</m:t>
        </m:r>
        <m:r>
          <m:rPr>
            <m:sty m:val="p"/>
          </m:rPr>
          <m:t>*</m:t>
        </m:r>
        <m:r>
          <m:rPr>
            <m:sty m:val="p"/>
          </m:rPr>
          <m:t>(</m:t>
        </m:r>
        <m:r>
          <m:rPr>
            <m:sty m:val="p"/>
          </m:rPr>
          <m:t>+</m:t>
        </m:r>
        <m:r>
          <m:t>7.9</m:t>
        </m:r>
      </m:oMath>
      <w:r>
        <w:rPr>
          <w:b/>
          <w:bCs/>
        </w:rPr>
        <w:t xml:space="preserve">7.19 of EPS</w:t>
      </w:r>
      <w:r>
        <w:t xml:space="preserve">. The expected beat-or-miss will matter, but the more important determinants of the stock reaction are likely to be:</w:t>
      </w:r>
    </w:p>
    <w:p>
      <w:pPr>
        <w:pStyle w:val="Compact"/>
        <w:numPr>
          <w:ilvl w:val="0"/>
          <w:numId w:val="1001"/>
        </w:numPr>
      </w:pPr>
      <w:r>
        <w:rPr>
          <w:b/>
          <w:bCs/>
        </w:rPr>
        <w:t xml:space="preserve">Power Systems growth, margins, capacity, and order visibility</w:t>
      </w:r>
    </w:p>
    <w:p>
      <w:pPr>
        <w:pStyle w:val="Compact"/>
        <w:numPr>
          <w:ilvl w:val="0"/>
          <w:numId w:val="1001"/>
        </w:numPr>
      </w:pPr>
      <w:r>
        <w:rPr>
          <w:b/>
          <w:bCs/>
        </w:rPr>
        <w:t xml:space="preserve">The durability of the North American truck recovery / EPA 2027 prebuy</w:t>
      </w:r>
    </w:p>
    <w:p>
      <w:pPr>
        <w:pStyle w:val="Compact"/>
        <w:numPr>
          <w:ilvl w:val="0"/>
          <w:numId w:val="1001"/>
        </w:numPr>
      </w:pPr>
      <w:r>
        <w:rPr>
          <w:b/>
          <w:bCs/>
        </w:rPr>
        <w:t xml:space="preserve">Whether full-year revenue and EBITDA-margin guidance moves higher</w:t>
      </w:r>
    </w:p>
    <w:p>
      <w:pPr>
        <w:pStyle w:val="Compact"/>
        <w:numPr>
          <w:ilvl w:val="0"/>
          <w:numId w:val="1001"/>
        </w:numPr>
      </w:pPr>
      <w:r>
        <w:rPr>
          <w:b/>
          <w:bCs/>
        </w:rPr>
        <w:t xml:space="preserve">Evidence that Accelera losses continue their planned decline</w:t>
      </w:r>
    </w:p>
    <w:p>
      <w:pPr>
        <w:pStyle w:val="Compact"/>
        <w:numPr>
          <w:ilvl w:val="0"/>
          <w:numId w:val="1001"/>
        </w:numPr>
      </w:pPr>
      <w:r>
        <w:rPr>
          <w:b/>
          <w:bCs/>
        </w:rPr>
        <w:t xml:space="preserve">Any change in the tariff, supply-chain, or China outlook</w:t>
      </w:r>
    </w:p>
    <w:bookmarkEnd w:id="9"/>
    <w:bookmarkStart w:id="10" w:name="what-the-market-expects"/>
    <w:p>
      <w:pPr>
        <w:pStyle w:val="Heading2"/>
      </w:pPr>
      <w:r>
        <w:t xml:space="preserve">What the market expects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Street expectation</w:t>
            </w:r>
          </w:p>
        </w:tc>
      </w:tr>
      <w:tr>
        <w:tc>
          <w:tcPr/>
          <w:p>
            <w:pPr>
              <w:pStyle w:val="Compact"/>
            </w:pPr>
            <w:r>
              <w:t xml:space="preserve">Revenue</w:t>
            </w:r>
          </w:p>
        </w:tc>
        <w:tc>
          <w:tcPr/>
          <w:p>
            <w:pPr>
              <w:pStyle w:val="Compact"/>
              <w:jc w:val="right"/>
            </w:pPr>
            <w:r>
              <w:rPr>
                <w:b/>
                <w:bCs/>
              </w:rPr>
              <w:t xml:space="preserve">$9.32B</w:t>
            </w:r>
          </w:p>
        </w:tc>
      </w:tr>
      <w:tr>
        <w:tc>
          <w:tcPr/>
          <w:p>
            <w:pPr>
              <w:pStyle w:val="Compact"/>
            </w:pPr>
            <w:r>
              <w:t xml:space="preserve">EPS</w:t>
            </w:r>
          </w:p>
        </w:tc>
        <w:tc>
          <w:tcPr/>
          <w:p>
            <w:pPr>
              <w:pStyle w:val="Compact"/>
              <w:jc w:val="right"/>
            </w:pPr>
            <w:r>
              <w:rPr>
                <w:b/>
                <w:bCs/>
              </w:rPr>
              <w:t xml:space="preserve">$7.19</w:t>
            </w:r>
          </w:p>
        </w:tc>
      </w:tr>
      <w:tr>
        <w:tc>
          <w:tcPr/>
          <w:p>
            <w:pPr>
              <w:pStyle w:val="Compact"/>
            </w:pPr>
            <w:r>
              <w:t xml:space="preserve">Power Systems revenue</w:t>
            </w:r>
          </w:p>
        </w:tc>
        <w:tc>
          <w:tcPr/>
          <w:p>
            <w:pPr>
              <w:pStyle w:val="Compact"/>
              <w:jc w:val="right"/>
            </w:pPr>
            <w:r>
              <w:rPr>
                <w:b/>
                <w:bCs/>
              </w:rPr>
              <w:t xml:space="preserve">$2.18B</w:t>
            </w:r>
            <w:r>
              <w:t xml:space="preserve"> </w:t>
            </w:r>
            <w:r>
              <w:t xml:space="preserve">(+15.5% YoY)</w:t>
            </w:r>
          </w:p>
        </w:tc>
      </w:tr>
      <w:tr>
        <w:tc>
          <w:tcPr/>
          <w:p>
            <w:pPr>
              <w:pStyle w:val="Compact"/>
            </w:pPr>
            <w:r>
              <w:t xml:space="preserve">Engine revenue</w:t>
            </w:r>
          </w:p>
        </w:tc>
        <w:tc>
          <w:tcPr/>
          <w:p>
            <w:pPr>
              <w:pStyle w:val="Compact"/>
              <w:jc w:val="right"/>
            </w:pPr>
            <w:r>
              <w:rPr>
                <w:b/>
                <w:bCs/>
              </w:rPr>
              <w:t xml:space="preserve">$3.03B</w:t>
            </w:r>
            <w:r>
              <w:t xml:space="preserve"> </w:t>
            </w:r>
            <w:r>
              <w:t xml:space="preserve">(+4.5% YoY)</w:t>
            </w:r>
          </w:p>
        </w:tc>
      </w:tr>
      <w:tr>
        <w:tc>
          <w:tcPr/>
          <w:p>
            <w:pPr>
              <w:pStyle w:val="Compact"/>
            </w:pPr>
            <w:r>
              <w:t xml:space="preserve">Components revenue</w:t>
            </w:r>
          </w:p>
        </w:tc>
        <w:tc>
          <w:tcPr/>
          <w:p>
            <w:pPr>
              <w:pStyle w:val="Compact"/>
              <w:jc w:val="right"/>
            </w:pPr>
            <w:r>
              <w:rPr>
                <w:b/>
                <w:bCs/>
              </w:rPr>
              <w:t xml:space="preserve">$2.78B</w:t>
            </w:r>
            <w:r>
              <w:t xml:space="preserve"> </w:t>
            </w:r>
            <w:r>
              <w:t xml:space="preserve">(+3.0% YoY)</w:t>
            </w:r>
          </w:p>
        </w:tc>
      </w:tr>
      <w:tr>
        <w:tc>
          <w:tcPr/>
          <w:p>
            <w:pPr>
              <w:pStyle w:val="Compact"/>
            </w:pPr>
            <w:r>
              <w:t xml:space="preserve">Distribution revenue</w:t>
            </w:r>
          </w:p>
        </w:tc>
        <w:tc>
          <w:tcPr/>
          <w:p>
            <w:pPr>
              <w:pStyle w:val="Compact"/>
              <w:jc w:val="right"/>
            </w:pPr>
            <w:r>
              <w:rPr>
                <w:b/>
                <w:bCs/>
              </w:rPr>
              <w:t xml:space="preserve">$3.38B</w:t>
            </w:r>
            <w:r>
              <w:t xml:space="preserve"> </w:t>
            </w:r>
            <w:r>
              <w:t xml:space="preserve">(+11.3% YoY)</w:t>
            </w:r>
          </w:p>
        </w:tc>
      </w:tr>
    </w:tbl>
    <w:p>
      <w:pPr>
        <w:pStyle w:val="BodyText"/>
      </w:pPr>
      <w:r>
        <w:t xml:space="preserve">These expectations imply broad-based growth, with the principal earnings engine still being Power Systems and its related Distribution activity—not simply a truck-cycle recovery.</w:t>
      </w:r>
    </w:p>
    <w:bookmarkEnd w:id="10"/>
    <w:bookmarkStart w:id="13" w:name="why-the-quarter-matters"/>
    <w:p>
      <w:pPr>
        <w:pStyle w:val="Heading2"/>
      </w:pPr>
      <w:r>
        <w:t xml:space="preserve">Why the quarter matters</w:t>
      </w:r>
    </w:p>
    <w:bookmarkStart w:id="11" w:name="Xeb3f2e9ba5ba7cd78c793a9b2b3a1371dc2c467"/>
    <w:p>
      <w:pPr>
        <w:pStyle w:val="Heading3"/>
      </w:pPr>
      <w:r>
        <w:t xml:space="preserve">1. Data-center power demand remains the key earnings and valuation driver</w:t>
      </w:r>
    </w:p>
    <w:p>
      <w:pPr>
        <w:pStyle w:val="FirstParagraph"/>
      </w:pPr>
      <w:r>
        <w:t xml:space="preserve">CMI’s Power Systems business is benefiting from demand for backup generation equipment for data centers, particularly in North America and China. In Q1, Power Systems revenue rose</w:t>
      </w:r>
      <w:r>
        <w:t xml:space="preserve"> </w:t>
      </w:r>
      <w:r>
        <w:rPr>
          <w:b/>
          <w:bCs/>
        </w:rPr>
        <w:t xml:space="preserve">19%</w:t>
      </w:r>
      <w:r>
        <w:t xml:space="preserve">, while EBITDA margin reached</w:t>
      </w:r>
      <w:r>
        <w:t xml:space="preserve"> </w:t>
      </w:r>
      <w:r>
        <w:rPr>
          <w:b/>
          <w:bCs/>
        </w:rPr>
        <w:t xml:space="preserve">29.5%</w:t>
      </w:r>
      <w:r>
        <w:t xml:space="preserve">, helped by volume, pricing, operating leverage, tariff recoveries, and some non-recurring cost recoveries.</w:t>
      </w:r>
    </w:p>
    <w:p>
      <w:pPr>
        <w:pStyle w:val="BodyText"/>
      </w:pPr>
      <w:r>
        <w:t xml:space="preserve">Management cautioned that Q1 Power Systems margins were unusually strong and should normalize somewhat through the rest of the year. That makes the Q2 margin print particularly important:</w:t>
      </w:r>
    </w:p>
    <w:p>
      <w:pPr>
        <w:pStyle w:val="Compact"/>
        <w:numPr>
          <w:ilvl w:val="0"/>
          <w:numId w:val="1002"/>
        </w:numPr>
      </w:pPr>
      <w:r>
        <w:rPr>
          <w:b/>
          <w:bCs/>
        </w:rPr>
        <w:t xml:space="preserve">Bullish outcome:</w:t>
      </w:r>
      <w:r>
        <w:t xml:space="preserve"> </w:t>
      </w:r>
      <w:r>
        <w:t xml:space="preserve">Revenue growth remains well above the company’s full-year outlook, margins hold in the high-20% range, and management cites continued order strength and capacity utilization.</w:t>
      </w:r>
    </w:p>
    <w:p>
      <w:pPr>
        <w:pStyle w:val="Compact"/>
        <w:numPr>
          <w:ilvl w:val="0"/>
          <w:numId w:val="1002"/>
        </w:numPr>
      </w:pPr>
      <w:r>
        <w:rPr>
          <w:b/>
          <w:bCs/>
        </w:rPr>
        <w:t xml:space="preserve">More mixed outcome:</w:t>
      </w:r>
      <w:r>
        <w:t xml:space="preserve"> </w:t>
      </w:r>
      <w:r>
        <w:t xml:space="preserve">Revenue is strong but profitability steps down sharply, raising questions about mix, incremental margins, or the extent to which Q1 contained transitory benefits.</w:t>
      </w:r>
    </w:p>
    <w:p>
      <w:pPr>
        <w:pStyle w:val="Compact"/>
        <w:numPr>
          <w:ilvl w:val="0"/>
          <w:numId w:val="1002"/>
        </w:numPr>
      </w:pPr>
      <w:r>
        <w:rPr>
          <w:b/>
          <w:bCs/>
        </w:rPr>
        <w:t xml:space="preserve">Most important qualitative disclosure:</w:t>
      </w:r>
      <w:r>
        <w:t xml:space="preserve"> </w:t>
      </w:r>
      <w:r>
        <w:t xml:space="preserve">Whether delivery lead times, backlog, and customer commitments continue to support the large capacity-expansion plan.</w:t>
      </w:r>
    </w:p>
    <w:p>
      <w:pPr>
        <w:pStyle w:val="FirstParagraph"/>
      </w:pPr>
      <w:r>
        <w:t xml:space="preserve">At its May Analyst Day, Cummins raised its 2030 targets to</w:t>
      </w:r>
      <w:r>
        <w:t xml:space="preserve"> </w:t>
      </w:r>
      <m:oMath>
        <m:r>
          <m:t>45</m:t>
        </m:r>
        <m:r>
          <m:t>B</m:t>
        </m:r>
        <m:r>
          <m:rPr>
            <m:sty m:val="p"/>
          </m:rPr>
          <m:t>–</m:t>
        </m:r>
      </m:oMath>
      <w:r>
        <w:rPr>
          <w:b/>
          <w:bCs/>
        </w:rPr>
        <w:t xml:space="preserve">50B of revenue</w:t>
      </w:r>
      <w:r>
        <w:t xml:space="preserve"> </w:t>
      </w:r>
      <w:r>
        <w:t xml:space="preserve">and</w:t>
      </w:r>
      <w:r>
        <w:t xml:space="preserve"> </w:t>
      </w:r>
      <w:r>
        <w:rPr>
          <w:b/>
          <w:bCs/>
        </w:rPr>
        <w:t xml:space="preserve">more than 20% EBITDA margin</w:t>
      </w:r>
      <w:r>
        <w:t xml:space="preserve">, supported heavily by power-generation growth. It expects data-center-related revenue across Power Systems and Distribution to grow from roughly</w:t>
      </w:r>
      <w:r>
        <w:t xml:space="preserve"> </w:t>
      </w:r>
      <m:oMath>
        <m:r>
          <m:t>5</m:t>
        </m:r>
        <m:r>
          <m:t>B</m:t>
        </m:r>
        <m:r>
          <m:t>i</m:t>
        </m:r>
        <m:r>
          <m:t>n</m:t>
        </m:r>
        <m:r>
          <m:t>2026</m:t>
        </m:r>
        <m:r>
          <m:rPr>
            <m:sty m:val="p"/>
          </m:rPr>
          <m:t>*</m:t>
        </m:r>
        <m:r>
          <m:rPr>
            <m:sty m:val="p"/>
          </m:rPr>
          <m:t>*</m:t>
        </m:r>
        <m:r>
          <m:t>t</m:t>
        </m:r>
        <m:r>
          <m:t>o</m:t>
        </m:r>
        <m:r>
          <m:t>m</m:t>
        </m:r>
        <m:r>
          <m:t>o</m:t>
        </m:r>
        <m:r>
          <m:t>r</m:t>
        </m:r>
        <m:r>
          <m:t>e</m:t>
        </m:r>
        <m:r>
          <m:t>t</m:t>
        </m:r>
        <m:r>
          <m:t>h</m:t>
        </m:r>
        <m:r>
          <m:t>a</m:t>
        </m:r>
        <m:r>
          <m:t>n</m:t>
        </m:r>
        <m:r>
          <m:rPr>
            <m:sty m:val="p"/>
          </m:rPr>
          <m:t>*</m:t>
        </m:r>
        <m:r>
          <m:rPr>
            <m:sty m:val="p"/>
          </m:rPr>
          <m:t>*</m:t>
        </m:r>
      </m:oMath>
      <w:r>
        <w:rPr>
          <w:b/>
          <w:bCs/>
        </w:rPr>
        <w:t xml:space="preserve">9B by 2030</w:t>
      </w:r>
      <w:r>
        <w:t xml:space="preserve">. Q2 needs to validate that long-term framework.</w:t>
      </w:r>
    </w:p>
    <w:bookmarkEnd w:id="11"/>
    <w:bookmarkStart w:id="12" w:name="X08308b55cc9ad64621790528d8ecb3cc555b912"/>
    <w:p>
      <w:pPr>
        <w:pStyle w:val="Heading3"/>
      </w:pPr>
      <w:r>
        <w:t xml:space="preserve">2. The truck recovery is becoming a meaningful second leg of the story</w:t>
      </w:r>
    </w:p>
    <w:p>
      <w:pPr>
        <w:pStyle w:val="FirstParagraph"/>
      </w:pPr>
      <w:r>
        <w:t xml:space="preserve">In Q1, North American heavy- and medium-duty truck markets were still weak year over year, but Cummins said demand was improving sooner than it expected. It raised its 2026 North American heavy-duty truck forecast to</w:t>
      </w:r>
      <w:r>
        <w:t xml:space="preserve"> </w:t>
      </w:r>
      <w:r>
        <w:rPr>
          <w:b/>
          <w:bCs/>
        </w:rPr>
        <w:t xml:space="preserve">230,000–250,000 units</w:t>
      </w:r>
      <w:r>
        <w:t xml:space="preserve">, from</w:t>
      </w:r>
      <w:r>
        <w:t xml:space="preserve"> </w:t>
      </w:r>
      <w:r>
        <w:rPr>
          <w:b/>
          <w:bCs/>
        </w:rPr>
        <w:t xml:space="preserve">220,000–240,000</w:t>
      </w:r>
      <w:r>
        <w:t xml:space="preserve">, and lifted its medium-duty outlook to</w:t>
      </w:r>
      <w:r>
        <w:t xml:space="preserve"> </w:t>
      </w:r>
      <w:r>
        <w:rPr>
          <w:b/>
          <w:bCs/>
        </w:rPr>
        <w:t xml:space="preserve">125,000–135,000 units</w:t>
      </w:r>
      <w:r>
        <w:t xml:space="preserve">, from</w:t>
      </w:r>
      <w:r>
        <w:t xml:space="preserve"> </w:t>
      </w:r>
      <w:r>
        <w:rPr>
          <w:b/>
          <w:bCs/>
        </w:rPr>
        <w:t xml:space="preserve">110,000–120,000</w:t>
      </w:r>
      <w:r>
        <w:t xml:space="preserve">.</w:t>
      </w:r>
    </w:p>
    <w:p>
      <w:pPr>
        <w:pStyle w:val="BodyText"/>
      </w:pPr>
      <w:r>
        <w:t xml:space="preserve">Management characterized Q2 as likely to be a strong build quarter, with Engines and Components expected to improve further in Q3. Key items to watch:</w:t>
      </w:r>
    </w:p>
    <w:p>
      <w:pPr>
        <w:pStyle w:val="Compact"/>
        <w:numPr>
          <w:ilvl w:val="0"/>
          <w:numId w:val="1003"/>
        </w:numPr>
      </w:pPr>
      <w:r>
        <w:t xml:space="preserve">Actual heavy-duty and medium-duty engine shipments;</w:t>
      </w:r>
    </w:p>
    <w:p>
      <w:pPr>
        <w:pStyle w:val="Compact"/>
        <w:numPr>
          <w:ilvl w:val="0"/>
          <w:numId w:val="1003"/>
        </w:numPr>
      </w:pPr>
      <w:r>
        <w:t xml:space="preserve">Engine and Components revenue growth versus consensus;</w:t>
      </w:r>
    </w:p>
    <w:p>
      <w:pPr>
        <w:pStyle w:val="Compact"/>
        <w:numPr>
          <w:ilvl w:val="0"/>
          <w:numId w:val="1003"/>
        </w:numPr>
      </w:pPr>
      <w:r>
        <w:t xml:space="preserve">Segment-margin recovery after Q1 pressure from lower volumes, elevated R&amp;D, compensation, and product-coverage costs;</w:t>
      </w:r>
    </w:p>
    <w:p>
      <w:pPr>
        <w:pStyle w:val="Compact"/>
        <w:numPr>
          <w:ilvl w:val="0"/>
          <w:numId w:val="1003"/>
        </w:numPr>
      </w:pPr>
      <w:r>
        <w:t xml:space="preserve">The cadence of customer orders and production schedules into the second half;</w:t>
      </w:r>
    </w:p>
    <w:p>
      <w:pPr>
        <w:pStyle w:val="Compact"/>
        <w:numPr>
          <w:ilvl w:val="0"/>
          <w:numId w:val="1003"/>
        </w:numPr>
      </w:pPr>
      <w:r>
        <w:t xml:space="preserve">Management’s view of a potential</w:t>
      </w:r>
      <w:r>
        <w:t xml:space="preserve"> </w:t>
      </w:r>
      <w:r>
        <w:rPr>
          <w:b/>
          <w:bCs/>
        </w:rPr>
        <w:t xml:space="preserve">EPA 2027 prebuy</w:t>
      </w:r>
      <w:r>
        <w:t xml:space="preserve">.</w:t>
      </w:r>
    </w:p>
    <w:p>
      <w:pPr>
        <w:pStyle w:val="FirstParagraph"/>
      </w:pPr>
      <w:r>
        <w:t xml:space="preserve">The prebuy could provide an additional tailwind into late 2026, but it also introduces a risk of softer demand after the regulatory transition. Cummins has said the X15 and X10 launches remain planned for 2027, while the new B-platform launch has moved to January 2028 amid regulatory uncertainty.</w:t>
      </w:r>
    </w:p>
    <w:bookmarkEnd w:id="12"/>
    <w:bookmarkEnd w:id="13"/>
    <w:bookmarkStart w:id="14" w:name="guidance-the-principal-catalyst"/>
    <w:p>
      <w:pPr>
        <w:pStyle w:val="Heading2"/>
      </w:pPr>
      <w:r>
        <w:t xml:space="preserve">Guidance: the principal catalyst</w:t>
      </w:r>
    </w:p>
    <w:p>
      <w:pPr>
        <w:pStyle w:val="FirstParagraph"/>
      </w:pPr>
      <w:r>
        <w:t xml:space="preserve">Following Q1, CMI guided for: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2026 guidance, issued with Q1</w:t>
            </w:r>
          </w:p>
        </w:tc>
        <w:tc>
          <w:tcPr/>
          <w:p>
            <w:pPr>
              <w:pStyle w:val="Compact"/>
              <w:jc w:val="right"/>
            </w:pPr>
            <w:r>
              <w:t xml:space="preserve">Current range</w:t>
            </w:r>
          </w:p>
        </w:tc>
      </w:tr>
      <w:tr>
        <w:tc>
          <w:tcPr/>
          <w:p>
            <w:pPr>
              <w:pStyle w:val="Compact"/>
            </w:pPr>
            <w:r>
              <w:t xml:space="preserve">Total company revenue</w:t>
            </w:r>
          </w:p>
        </w:tc>
        <w:tc>
          <w:tcPr/>
          <w:p>
            <w:pPr>
              <w:pStyle w:val="Compact"/>
              <w:jc w:val="right"/>
            </w:pPr>
            <w:r>
              <w:rPr>
                <w:b/>
                <w:bCs/>
              </w:rPr>
              <w:t xml:space="preserve">+8% to +11%</w:t>
            </w:r>
          </w:p>
        </w:tc>
      </w:tr>
      <w:tr>
        <w:tc>
          <w:tcPr/>
          <w:p>
            <w:pPr>
              <w:pStyle w:val="Compact"/>
            </w:pPr>
            <w:r>
              <w:t xml:space="preserve">EBITDA margin</w:t>
            </w:r>
          </w:p>
        </w:tc>
        <w:tc>
          <w:tcPr/>
          <w:p>
            <w:pPr>
              <w:pStyle w:val="Compact"/>
              <w:jc w:val="right"/>
            </w:pPr>
            <w:r>
              <w:rPr>
                <w:b/>
                <w:bCs/>
              </w:rPr>
              <w:t xml:space="preserve">17.75% to 18.5%</w:t>
            </w:r>
          </w:p>
        </w:tc>
      </w:tr>
      <w:tr>
        <w:tc>
          <w:tcPr/>
          <w:p>
            <w:pPr>
              <w:pStyle w:val="Compact"/>
            </w:pPr>
            <w:r>
              <w:t xml:space="preserve">Power Systems revenue</w:t>
            </w:r>
          </w:p>
        </w:tc>
        <w:tc>
          <w:tcPr/>
          <w:p>
            <w:pPr>
              <w:pStyle w:val="Compact"/>
              <w:jc w:val="right"/>
            </w:pPr>
            <w:r>
              <w:rPr>
                <w:b/>
                <w:bCs/>
              </w:rPr>
              <w:t xml:space="preserve">+14% to +19%</w:t>
            </w:r>
          </w:p>
        </w:tc>
      </w:tr>
      <w:tr>
        <w:tc>
          <w:tcPr/>
          <w:p>
            <w:pPr>
              <w:pStyle w:val="Compact"/>
            </w:pPr>
            <w:r>
              <w:t xml:space="preserve">Power Systems EBITDA margin</w:t>
            </w:r>
          </w:p>
        </w:tc>
        <w:tc>
          <w:tcPr/>
          <w:p>
            <w:pPr>
              <w:pStyle w:val="Compact"/>
              <w:jc w:val="right"/>
            </w:pPr>
            <w:r>
              <w:rPr>
                <w:b/>
                <w:bCs/>
              </w:rPr>
              <w:t xml:space="preserve">~25% to 26%</w:t>
            </w:r>
          </w:p>
        </w:tc>
      </w:tr>
      <w:tr>
        <w:tc>
          <w:tcPr/>
          <w:p>
            <w:pPr>
              <w:pStyle w:val="Compact"/>
            </w:pPr>
            <w:r>
              <w:t xml:space="preserve">Engine revenue</w:t>
            </w:r>
          </w:p>
        </w:tc>
        <w:tc>
          <w:tcPr/>
          <w:p>
            <w:pPr>
              <w:pStyle w:val="Compact"/>
              <w:jc w:val="right"/>
            </w:pPr>
            <w:r>
              <w:rPr>
                <w:b/>
                <w:bCs/>
              </w:rPr>
              <w:t xml:space="preserve">+7% to +12%</w:t>
            </w:r>
          </w:p>
        </w:tc>
      </w:tr>
      <w:tr>
        <w:tc>
          <w:tcPr/>
          <w:p>
            <w:pPr>
              <w:pStyle w:val="Compact"/>
            </w:pPr>
            <w:r>
              <w:t xml:space="preserve">Engine EBITDA margin</w:t>
            </w:r>
          </w:p>
        </w:tc>
        <w:tc>
          <w:tcPr/>
          <w:p>
            <w:pPr>
              <w:pStyle w:val="Compact"/>
              <w:jc w:val="right"/>
            </w:pPr>
            <w:r>
              <w:rPr>
                <w:b/>
                <w:bCs/>
              </w:rPr>
              <w:t xml:space="preserve">12.5% to 13.5%</w:t>
            </w:r>
          </w:p>
        </w:tc>
      </w:tr>
      <w:tr>
        <w:tc>
          <w:tcPr/>
          <w:p>
            <w:pPr>
              <w:pStyle w:val="Compact"/>
            </w:pPr>
            <w:r>
              <w:t xml:space="preserve">Components revenue</w:t>
            </w:r>
          </w:p>
        </w:tc>
        <w:tc>
          <w:tcPr/>
          <w:p>
            <w:pPr>
              <w:pStyle w:val="Compact"/>
              <w:jc w:val="right"/>
            </w:pPr>
            <w:r>
              <w:rPr>
                <w:b/>
                <w:bCs/>
              </w:rPr>
              <w:t xml:space="preserve">+5% to +10%</w:t>
            </w:r>
          </w:p>
        </w:tc>
      </w:tr>
      <w:tr>
        <w:tc>
          <w:tcPr/>
          <w:p>
            <w:pPr>
              <w:pStyle w:val="Compact"/>
            </w:pPr>
            <w:r>
              <w:t xml:space="preserve">Components EBITDA margin</w:t>
            </w:r>
          </w:p>
        </w:tc>
        <w:tc>
          <w:tcPr/>
          <w:p>
            <w:pPr>
              <w:pStyle w:val="Compact"/>
              <w:jc w:val="right"/>
            </w:pPr>
            <w:r>
              <w:rPr>
                <w:b/>
                <w:bCs/>
              </w:rPr>
              <w:t xml:space="preserve">13.5% to 14.5%</w:t>
            </w:r>
          </w:p>
        </w:tc>
      </w:tr>
      <w:tr>
        <w:tc>
          <w:tcPr/>
          <w:p>
            <w:pPr>
              <w:pStyle w:val="Compact"/>
            </w:pPr>
            <w:r>
              <w:t xml:space="preserve">Distribution revenue</w:t>
            </w:r>
          </w:p>
        </w:tc>
        <w:tc>
          <w:tcPr/>
          <w:p>
            <w:pPr>
              <w:pStyle w:val="Compact"/>
              <w:jc w:val="right"/>
            </w:pPr>
            <w:r>
              <w:rPr>
                <w:b/>
                <w:bCs/>
              </w:rPr>
              <w:t xml:space="preserve">+9% to +14%</w:t>
            </w:r>
          </w:p>
        </w:tc>
      </w:tr>
      <w:tr>
        <w:tc>
          <w:tcPr/>
          <w:p>
            <w:pPr>
              <w:pStyle w:val="Compact"/>
            </w:pPr>
            <w:r>
              <w:t xml:space="preserve">Distribution EBITDA margin</w:t>
            </w:r>
          </w:p>
        </w:tc>
        <w:tc>
          <w:tcPr/>
          <w:p>
            <w:pPr>
              <w:pStyle w:val="Compact"/>
              <w:jc w:val="right"/>
            </w:pPr>
            <w:r>
              <w:rPr>
                <w:b/>
                <w:bCs/>
              </w:rPr>
              <w:t xml:space="preserve">13.7% to 14.7%</w:t>
            </w:r>
          </w:p>
        </w:tc>
      </w:tr>
      <w:tr>
        <w:tc>
          <w:tcPr/>
          <w:p>
            <w:pPr>
              <w:pStyle w:val="Compact"/>
            </w:pPr>
            <w:r>
              <w:t xml:space="preserve">Accelera EBITDA loss, excluding fuel-cell-sale charge</w:t>
            </w:r>
          </w:p>
        </w:tc>
        <w:tc>
          <w:tcPr/>
          <w:p>
            <w:pPr>
              <w:pStyle w:val="Compact"/>
              <w:jc w:val="right"/>
            </w:pPr>
            <m:oMath>
              <m:r>
                <m:t>270</m:t>
              </m:r>
              <m:r>
                <m:t>M</m:t>
              </m:r>
              <m:r>
                <m:rPr>
                  <m:sty m:val="p"/>
                </m:rPr>
                <m:t>–</m:t>
              </m:r>
            </m:oMath>
            <w:r>
              <w:rPr>
                <w:b/>
                <w:bCs/>
              </w:rPr>
              <w:t xml:space="preserve">300M</w:t>
            </w:r>
          </w:p>
        </w:tc>
      </w:tr>
    </w:tbl>
    <w:p>
      <w:pPr>
        <w:pStyle w:val="BodyText"/>
      </w:pPr>
      <w:r>
        <w:t xml:space="preserve">A guidance raise would likely require management to express increased confidence in both</w:t>
      </w:r>
      <w:r>
        <w:t xml:space="preserve"> </w:t>
      </w:r>
      <w:r>
        <w:rPr>
          <w:b/>
          <w:bCs/>
        </w:rPr>
        <w:t xml:space="preserve">data-center power demand</w:t>
      </w:r>
      <w:r>
        <w:t xml:space="preserve"> </w:t>
      </w:r>
      <w:r>
        <w:t xml:space="preserve">and</w:t>
      </w:r>
      <w:r>
        <w:t xml:space="preserve"> </w:t>
      </w:r>
      <w:r>
        <w:rPr>
          <w:b/>
          <w:bCs/>
        </w:rPr>
        <w:t xml:space="preserve">on-highway truck production</w:t>
      </w:r>
      <w:r>
        <w:t xml:space="preserve">. However, merely maintaining guidance could be sufficient if Power Systems margins normalize as previously telegraphed and the company preserves its strong second-half outlook.</w:t>
      </w:r>
    </w:p>
    <w:bookmarkEnd w:id="14"/>
    <w:bookmarkStart w:id="19" w:name="segment-scorecard"/>
    <w:p>
      <w:pPr>
        <w:pStyle w:val="Heading2"/>
      </w:pPr>
      <w:r>
        <w:t xml:space="preserve">Segment scorecard</w:t>
      </w:r>
    </w:p>
    <w:bookmarkStart w:id="15" w:name="power-systems--the-headline-business"/>
    <w:p>
      <w:pPr>
        <w:pStyle w:val="Heading3"/>
      </w:pPr>
      <w:r>
        <w:t xml:space="preserve">Power Systems — the headline business</w:t>
      </w:r>
    </w:p>
    <w:p>
      <w:pPr>
        <w:pStyle w:val="FirstParagraph"/>
      </w:pPr>
      <w:r>
        <w:rPr>
          <w:b/>
          <w:bCs/>
        </w:rPr>
        <w:t xml:space="preserve">What to watch</w:t>
      </w:r>
    </w:p>
    <w:p>
      <w:pPr>
        <w:pStyle w:val="Compact"/>
        <w:numPr>
          <w:ilvl w:val="0"/>
          <w:numId w:val="1004"/>
        </w:numPr>
      </w:pPr>
      <w:r>
        <w:t xml:space="preserve">Growth in data-center-related generator demand;</w:t>
      </w:r>
    </w:p>
    <w:p>
      <w:pPr>
        <w:pStyle w:val="Compact"/>
        <w:numPr>
          <w:ilvl w:val="0"/>
          <w:numId w:val="1004"/>
        </w:numPr>
      </w:pPr>
      <w:r>
        <w:t xml:space="preserve">China and broader Asia-Pacific demand;</w:t>
      </w:r>
    </w:p>
    <w:p>
      <w:pPr>
        <w:pStyle w:val="Compact"/>
        <w:numPr>
          <w:ilvl w:val="0"/>
          <w:numId w:val="1004"/>
        </w:numPr>
      </w:pPr>
      <w:r>
        <w:t xml:space="preserve">Large-engine and genset capacity utilization;</w:t>
      </w:r>
    </w:p>
    <w:p>
      <w:pPr>
        <w:pStyle w:val="Compact"/>
        <w:numPr>
          <w:ilvl w:val="0"/>
          <w:numId w:val="1004"/>
        </w:numPr>
      </w:pPr>
      <w:r>
        <w:t xml:space="preserve">Margin progression against the ~25%–26% full-year target;</w:t>
      </w:r>
    </w:p>
    <w:p>
      <w:pPr>
        <w:pStyle w:val="Compact"/>
        <w:numPr>
          <w:ilvl w:val="0"/>
          <w:numId w:val="1004"/>
        </w:numPr>
      </w:pPr>
      <w:r>
        <w:t xml:space="preserve">Updates on orders, lead times, capacity additions, and future prime-power opportunities.</w:t>
      </w:r>
    </w:p>
    <w:p>
      <w:pPr>
        <w:pStyle w:val="FirstParagraph"/>
      </w:pPr>
      <w:r>
        <w:rPr>
          <w:b/>
          <w:bCs/>
        </w:rPr>
        <w:t xml:space="preserve">Why it matters</w:t>
      </w:r>
      <w:r>
        <w:t xml:space="preserve"> </w:t>
      </w:r>
      <w:r>
        <w:t xml:space="preserve">Power Systems is the clearest source of CMI’s changed earnings profile. At the Analyst Day, Cummins announced an additional</w:t>
      </w:r>
      <w:r>
        <w:t xml:space="preserve"> </w:t>
      </w:r>
      <w:r>
        <w:rPr>
          <w:b/>
          <w:bCs/>
        </w:rPr>
        <w:t xml:space="preserve">$450M</w:t>
      </w:r>
      <w:r>
        <w:t xml:space="preserve"> </w:t>
      </w:r>
      <w:r>
        <w:t xml:space="preserve">investment intended to expand high-horsepower engine and genset capacity by</w:t>
      </w:r>
      <w:r>
        <w:t xml:space="preserve"> </w:t>
      </w:r>
      <w:r>
        <w:rPr>
          <w:b/>
          <w:bCs/>
        </w:rPr>
        <w:t xml:space="preserve">20 gigawatts</w:t>
      </w:r>
      <w:r>
        <w:t xml:space="preserve">, reaching</w:t>
      </w:r>
      <w:r>
        <w:t xml:space="preserve"> </w:t>
      </w:r>
      <w:r>
        <w:rPr>
          <w:b/>
          <w:bCs/>
        </w:rPr>
        <w:t xml:space="preserve">55 gigawatts by 2030</w:t>
      </w:r>
      <w:r>
        <w:t xml:space="preserve">. This is a large opportunity, but investors will want confirmation that demand visibility supports the capital deployment.</w:t>
      </w:r>
    </w:p>
    <w:bookmarkEnd w:id="15"/>
    <w:bookmarkStart w:id="16" w:name="Xb595787b0a370fe840304c2497f811f1f55c4fc"/>
    <w:p>
      <w:pPr>
        <w:pStyle w:val="Heading3"/>
      </w:pPr>
      <w:r>
        <w:t xml:space="preserve">Distribution — a beneficiary of the power cycle and installed base</w:t>
      </w:r>
    </w:p>
    <w:p>
      <w:pPr>
        <w:pStyle w:val="FirstParagraph"/>
      </w:pPr>
      <w:r>
        <w:t xml:space="preserve">Distribution combines power-equipment sales, installation, parts, and service. Q1 revenue rose</w:t>
      </w:r>
      <w:r>
        <w:t xml:space="preserve"> </w:t>
      </w:r>
      <w:r>
        <w:rPr>
          <w:b/>
          <w:bCs/>
        </w:rPr>
        <w:t xml:space="preserve">7%</w:t>
      </w:r>
      <w:r>
        <w:t xml:space="preserve">, while EBITDA margin improved</w:t>
      </w:r>
      <w:r>
        <w:t xml:space="preserve"> </w:t>
      </w:r>
      <w:r>
        <w:rPr>
          <w:b/>
          <w:bCs/>
        </w:rPr>
        <w:t xml:space="preserve">130 basis points</w:t>
      </w:r>
      <w:r>
        <w:t xml:space="preserve"> </w:t>
      </w:r>
      <w:r>
        <w:t xml:space="preserve">to</w:t>
      </w:r>
      <w:r>
        <w:t xml:space="preserve"> </w:t>
      </w:r>
      <w:r>
        <w:rPr>
          <w:b/>
          <w:bCs/>
        </w:rPr>
        <w:t xml:space="preserve">14.2%</w:t>
      </w:r>
      <w:r>
        <w:t xml:space="preserve">, driven by higher power-generation volumes and favorable mix.</w:t>
      </w:r>
    </w:p>
    <w:p>
      <w:pPr>
        <w:pStyle w:val="BodyText"/>
      </w:pPr>
      <w:r>
        <w:rPr>
          <w:b/>
          <w:bCs/>
        </w:rPr>
        <w:t xml:space="preserve">What to watch</w:t>
      </w:r>
    </w:p>
    <w:p>
      <w:pPr>
        <w:pStyle w:val="Compact"/>
        <w:numPr>
          <w:ilvl w:val="0"/>
          <w:numId w:val="1005"/>
        </w:numPr>
      </w:pPr>
      <w:r>
        <w:t xml:space="preserve">The split between power-generation equipment versus parts and service;</w:t>
      </w:r>
    </w:p>
    <w:p>
      <w:pPr>
        <w:pStyle w:val="Compact"/>
        <w:numPr>
          <w:ilvl w:val="0"/>
          <w:numId w:val="1005"/>
        </w:numPr>
      </w:pPr>
      <w:r>
        <w:t xml:space="preserve">Margin durability as whole-goods power sales grow faster than higher-margin parts;</w:t>
      </w:r>
    </w:p>
    <w:p>
      <w:pPr>
        <w:pStyle w:val="Compact"/>
        <w:numPr>
          <w:ilvl w:val="0"/>
          <w:numId w:val="1005"/>
        </w:numPr>
      </w:pPr>
      <w:r>
        <w:t xml:space="preserve">Data-center installation and balance-of-plant activity;</w:t>
      </w:r>
    </w:p>
    <w:p>
      <w:pPr>
        <w:pStyle w:val="Compact"/>
        <w:numPr>
          <w:ilvl w:val="0"/>
          <w:numId w:val="1005"/>
        </w:numPr>
      </w:pPr>
      <w:r>
        <w:t xml:space="preserve">Aftermarket growth from Cummins’ expanding installed base.</w:t>
      </w:r>
    </w:p>
    <w:p>
      <w:pPr>
        <w:pStyle w:val="FirstParagraph"/>
      </w:pPr>
      <w:r>
        <w:t xml:space="preserve">Distribution is strategically important because it captures service and lifecycle value long after the initial engine or genset sale.</w:t>
      </w:r>
    </w:p>
    <w:bookmarkEnd w:id="16"/>
    <w:bookmarkStart w:id="17" w:name="X21604a89d2b284a175cc0020e855f73cb9e50a1"/>
    <w:p>
      <w:pPr>
        <w:pStyle w:val="Heading3"/>
      </w:pPr>
      <w:r>
        <w:t xml:space="preserve">Engines and Components — recovery plus future content story</w:t>
      </w:r>
    </w:p>
    <w:p>
      <w:pPr>
        <w:pStyle w:val="FirstParagraph"/>
      </w:pPr>
      <w:r>
        <w:t xml:space="preserve">In Q1, Engine revenue fell</w:t>
      </w:r>
      <w:r>
        <w:t xml:space="preserve"> </w:t>
      </w:r>
      <w:r>
        <w:rPr>
          <w:b/>
          <w:bCs/>
        </w:rPr>
        <w:t xml:space="preserve">4%</w:t>
      </w:r>
      <w:r>
        <w:t xml:space="preserve"> </w:t>
      </w:r>
      <w:r>
        <w:t xml:space="preserve">and Engine EBITDA margin fell to</w:t>
      </w:r>
      <w:r>
        <w:t xml:space="preserve"> </w:t>
      </w:r>
      <w:r>
        <w:rPr>
          <w:b/>
          <w:bCs/>
        </w:rPr>
        <w:t xml:space="preserve">10.4%</w:t>
      </w:r>
      <w:r>
        <w:t xml:space="preserve">, while Components revenue declined</w:t>
      </w:r>
      <w:r>
        <w:t xml:space="preserve"> </w:t>
      </w:r>
      <w:r>
        <w:rPr>
          <w:b/>
          <w:bCs/>
        </w:rPr>
        <w:t xml:space="preserve">5%</w:t>
      </w:r>
      <w:r>
        <w:t xml:space="preserve"> </w:t>
      </w:r>
      <w:r>
        <w:t xml:space="preserve">and margin fell to</w:t>
      </w:r>
      <w:r>
        <w:t xml:space="preserve"> </w:t>
      </w:r>
      <w:r>
        <w:rPr>
          <w:b/>
          <w:bCs/>
        </w:rPr>
        <w:t xml:space="preserve">13.3%</w:t>
      </w:r>
      <w:r>
        <w:t xml:space="preserve">. The pressure was tied primarily to weaker North American truck volumes, higher costs, and continued investment ahead of the new emissions-platform launches.</w:t>
      </w:r>
    </w:p>
    <w:p>
      <w:pPr>
        <w:pStyle w:val="BodyText"/>
      </w:pPr>
      <w:r>
        <w:t xml:space="preserve">The setup improves from here if truck builds strengthen. Beyond the near-term cycle, the EPA 2027 transition should raise content per vehicle across engines, aftertreatment, and related powertrain systems.</w:t>
      </w:r>
    </w:p>
    <w:p>
      <w:pPr>
        <w:pStyle w:val="BodyText"/>
      </w:pPr>
      <w:r>
        <w:rPr>
          <w:b/>
          <w:bCs/>
        </w:rPr>
        <w:t xml:space="preserve">Watch for:</w:t>
      </w:r>
      <w:r>
        <w:t xml:space="preserve"> </w:t>
      </w:r>
      <w:r>
        <w:t xml:space="preserve">evidence that the recovery is translating into volume rather than just optimistic order commentary; margin conversion as production rises; and any updated assumptions around the regulatory timetable.</w:t>
      </w:r>
    </w:p>
    <w:bookmarkEnd w:id="17"/>
    <w:bookmarkStart w:id="18" w:name="Xb4c23f629bc0a5b3aa8893e4da87e72929f50fa"/>
    <w:p>
      <w:pPr>
        <w:pStyle w:val="Heading3"/>
      </w:pPr>
      <w:r>
        <w:t xml:space="preserve">Accelera — less of a growth driver, more of an earnings drag that must improve</w:t>
      </w:r>
    </w:p>
    <w:p>
      <w:pPr>
        <w:pStyle w:val="FirstParagraph"/>
      </w:pPr>
      <w:r>
        <w:t xml:space="preserve">Accelera remains a near-term drag, but the trajectory is improving. In Q1, the segment reported a</w:t>
      </w:r>
      <w:r>
        <w:t xml:space="preserve"> </w:t>
      </w:r>
      <m:oMath>
        <m:r>
          <m:t>277</m:t>
        </m:r>
        <m:r>
          <m:t>M</m:t>
        </m:r>
        <m:r>
          <m:t>E</m:t>
        </m:r>
        <m:r>
          <m:t>B</m:t>
        </m:r>
        <m:r>
          <m:t>I</m:t>
        </m:r>
        <m:r>
          <m:t>T</m:t>
        </m:r>
        <m:r>
          <m:t>D</m:t>
        </m:r>
        <m:r>
          <m:t>A</m:t>
        </m:r>
        <m:r>
          <m:t>l</m:t>
        </m:r>
        <m:r>
          <m:t>o</m:t>
        </m:r>
        <m:r>
          <m:t>s</m:t>
        </m:r>
        <m:r>
          <m:t>s</m:t>
        </m:r>
        <m:r>
          <m:rPr>
            <m:sty m:val="p"/>
          </m:rPr>
          <m:t>*</m:t>
        </m:r>
        <m:r>
          <m:rPr>
            <m:sty m:val="p"/>
          </m:rPr>
          <m:t>*</m:t>
        </m:r>
        <m:r>
          <m:rPr>
            <m:sty m:val="p"/>
          </m:rPr>
          <m:t>,</m:t>
        </m:r>
        <m:r>
          <m:t>i</m:t>
        </m:r>
        <m:r>
          <m:t>n</m:t>
        </m:r>
        <m:r>
          <m:t>c</m:t>
        </m:r>
        <m:r>
          <m:t>l</m:t>
        </m:r>
        <m:r>
          <m:t>u</m:t>
        </m:r>
        <m:r>
          <m:t>d</m:t>
        </m:r>
        <m:r>
          <m:t>i</m:t>
        </m:r>
        <m:r>
          <m:t>n</m:t>
        </m:r>
        <m:r>
          <m:t>g</m:t>
        </m:r>
        <m:r>
          <m:t>a</m:t>
        </m:r>
        <m:r>
          <m:rPr>
            <m:sty m:val="p"/>
          </m:rPr>
          <m:t>*</m:t>
        </m:r>
        <m:r>
          <m:rPr>
            <m:sty m:val="p"/>
          </m:rPr>
          <m:t>*</m:t>
        </m:r>
      </m:oMath>
      <w:r>
        <w:rPr>
          <w:b/>
          <w:bCs/>
        </w:rPr>
        <w:t xml:space="preserve">199M</w:t>
      </w:r>
      <w:r>
        <w:t xml:space="preserve"> </w:t>
      </w:r>
      <w:r>
        <w:t xml:space="preserve">charge related to the sale of the low-pressure fuel-cell business. Excluding that item, the loss improved to</w:t>
      </w:r>
      <w:r>
        <w:t xml:space="preserve"> </w:t>
      </w:r>
      <m:oMath>
        <m:r>
          <m:t>78</m:t>
        </m:r>
        <m:r>
          <m:t>M</m:t>
        </m:r>
        <m:r>
          <m:rPr>
            <m:sty m:val="p"/>
          </m:rPr>
          <m:t>*</m:t>
        </m:r>
        <m:r>
          <m:rPr>
            <m:sty m:val="p"/>
          </m:rPr>
          <m:t>*</m:t>
        </m:r>
        <m:r>
          <m:t>f</m:t>
        </m:r>
        <m:r>
          <m:t>r</m:t>
        </m:r>
        <m:r>
          <m:t>o</m:t>
        </m:r>
        <m:r>
          <m:t>m</m:t>
        </m:r>
        <m:r>
          <m:rPr>
            <m:sty m:val="p"/>
          </m:rPr>
          <m:t>*</m:t>
        </m:r>
        <m:r>
          <m:rPr>
            <m:sty m:val="p"/>
          </m:rPr>
          <m:t>*</m:t>
        </m:r>
      </m:oMath>
      <w:r>
        <w:rPr>
          <w:b/>
          <w:bCs/>
        </w:rPr>
        <w:t xml:space="preserve">86M</w:t>
      </w:r>
      <w:r>
        <w:t xml:space="preserve"> </w:t>
      </w:r>
      <w:r>
        <w:t xml:space="preserve">a year earlier.</w:t>
      </w:r>
    </w:p>
    <w:p>
      <w:pPr>
        <w:pStyle w:val="BodyText"/>
      </w:pPr>
      <w:r>
        <w:t xml:space="preserve">Cummins has been narrowing the portfolio, reducing exposure to slower-adoption hydrogen and electrolyzer opportunities, and focusing capital on areas such as battery-electric powertrains, e-axles, traction systems, and selected e-mobility markets.</w:t>
      </w:r>
    </w:p>
    <w:p>
      <w:pPr>
        <w:pStyle w:val="BodyText"/>
      </w:pPr>
      <w:r>
        <w:rPr>
          <w:b/>
          <w:bCs/>
        </w:rPr>
        <w:t xml:space="preserve">Q2 read-through:</w:t>
      </w:r>
      <w:r>
        <w:t xml:space="preserve"> </w:t>
      </w:r>
      <w:r>
        <w:t xml:space="preserve">Investors should focus on the underlying loss run rate and cash needs, not headline GAAP comparisons distorted by Q1’s divestiture-related charge.</w:t>
      </w:r>
    </w:p>
    <w:bookmarkEnd w:id="18"/>
    <w:bookmarkEnd w:id="19"/>
    <w:bookmarkStart w:id="20" w:name="risks-heading-into-the-print"/>
    <w:p>
      <w:pPr>
        <w:pStyle w:val="Heading2"/>
      </w:pPr>
      <w:r>
        <w:t xml:space="preserve">Risks heading into the print</w:t>
      </w:r>
    </w:p>
    <w:p>
      <w:pPr>
        <w:pStyle w:val="Compact"/>
        <w:numPr>
          <w:ilvl w:val="0"/>
          <w:numId w:val="1006"/>
        </w:numPr>
      </w:pPr>
      <w:r>
        <w:rPr>
          <w:b/>
          <w:bCs/>
        </w:rPr>
        <w:t xml:space="preserve">Power Systems expectations are elevated.</w:t>
      </w:r>
      <w:r>
        <w:t xml:space="preserve"> </w:t>
      </w:r>
      <w:r>
        <w:t xml:space="preserve">Strong growth may already be reflected in consensus and investor positioning; revenue strength without margin support could disappoint.</w:t>
      </w:r>
    </w:p>
    <w:p>
      <w:pPr>
        <w:pStyle w:val="Compact"/>
        <w:numPr>
          <w:ilvl w:val="0"/>
          <w:numId w:val="1006"/>
        </w:numPr>
      </w:pPr>
      <w:r>
        <w:rPr>
          <w:b/>
          <w:bCs/>
        </w:rPr>
        <w:t xml:space="preserve">Truck demand remains cyclical.</w:t>
      </w:r>
      <w:r>
        <w:t xml:space="preserve"> </w:t>
      </w:r>
      <w:r>
        <w:t xml:space="preserve">Freight economics, OEM production schedules, interest rates, and customer confidence could limit the recovery.</w:t>
      </w:r>
    </w:p>
    <w:p>
      <w:pPr>
        <w:pStyle w:val="Compact"/>
        <w:numPr>
          <w:ilvl w:val="0"/>
          <w:numId w:val="1006"/>
        </w:numPr>
      </w:pPr>
      <w:r>
        <w:rPr>
          <w:b/>
          <w:bCs/>
        </w:rPr>
        <w:t xml:space="preserve">EPA 2027 uncertainty.</w:t>
      </w:r>
      <w:r>
        <w:t xml:space="preserve"> </w:t>
      </w:r>
      <w:r>
        <w:t xml:space="preserve">The timing and final details of emissions rules could affect product-launch cadence, prebuy behavior, compliance costs, and margins.</w:t>
      </w:r>
    </w:p>
    <w:p>
      <w:pPr>
        <w:pStyle w:val="Compact"/>
        <w:numPr>
          <w:ilvl w:val="0"/>
          <w:numId w:val="1006"/>
        </w:numPr>
      </w:pPr>
      <w:r>
        <w:rPr>
          <w:b/>
          <w:bCs/>
        </w:rPr>
        <w:t xml:space="preserve">Tariffs and trade policy.</w:t>
      </w:r>
      <w:r>
        <w:t xml:space="preserve"> </w:t>
      </w:r>
      <w:r>
        <w:t xml:space="preserve">Cummins has so far characterized the net profitability impact as immaterial after mitigation and recoveries, but policy changes remain a source of demand and cost volatility.</w:t>
      </w:r>
    </w:p>
    <w:p>
      <w:pPr>
        <w:pStyle w:val="Compact"/>
        <w:numPr>
          <w:ilvl w:val="0"/>
          <w:numId w:val="1006"/>
        </w:numPr>
      </w:pPr>
      <w:r>
        <w:rPr>
          <w:b/>
          <w:bCs/>
        </w:rPr>
        <w:t xml:space="preserve">China sensitivity.</w:t>
      </w:r>
      <w:r>
        <w:t xml:space="preserve"> </w:t>
      </w:r>
      <w:r>
        <w:t xml:space="preserve">China has become a power-generation tailwind, but its industrial and construction markets remain less predictable.</w:t>
      </w:r>
    </w:p>
    <w:p>
      <w:pPr>
        <w:pStyle w:val="Compact"/>
        <w:numPr>
          <w:ilvl w:val="0"/>
          <w:numId w:val="1006"/>
        </w:numPr>
      </w:pPr>
      <w:r>
        <w:rPr>
          <w:b/>
          <w:bCs/>
        </w:rPr>
        <w:t xml:space="preserve">Working-capital intensity.</w:t>
      </w:r>
      <w:r>
        <w:t xml:space="preserve"> </w:t>
      </w:r>
      <w:r>
        <w:t xml:space="preserve">Q1 accounts receivable and inventories increased sequentially; with accelerating production and capacity investment, cash conversion deserves attention.</w:t>
      </w:r>
    </w:p>
    <w:bookmarkEnd w:id="20"/>
    <w:bookmarkStart w:id="21" w:name="stock-setup"/>
    <w:p>
      <w:pPr>
        <w:pStyle w:val="Heading2"/>
      </w:pPr>
      <w:r>
        <w:t xml:space="preserve">Stock setup</w:t>
      </w:r>
    </w:p>
    <w:p>
      <w:pPr>
        <w:pStyle w:val="FirstParagraph"/>
      </w:pPr>
      <w:r>
        <w:t xml:space="preserve">CMI closed at</w:t>
      </w:r>
      <w:r>
        <w:t xml:space="preserve"> </w:t>
      </w:r>
      <w:r>
        <w:rPr>
          <w:b/>
          <w:bCs/>
        </w:rPr>
        <w:t xml:space="preserve">$648.89 on August 3</w:t>
      </w:r>
      <w:r>
        <w:t xml:space="preserve">, down roughly</w:t>
      </w:r>
      <w:r>
        <w:t xml:space="preserve"> </w:t>
      </w:r>
      <w:r>
        <w:rPr>
          <w:b/>
          <w:bCs/>
        </w:rPr>
        <w:t xml:space="preserve">11% from its late-June high of $727.59</w:t>
      </w:r>
      <w:r>
        <w:t xml:space="preserve"> </w:t>
      </w:r>
      <w:r>
        <w:t xml:space="preserve">and modestly below its early-May level. That pullback may reduce some near-term valuation pressure, but expectations remain centered on the durability of the data-center power cycle and the company’s ability to translate elevated revenue into sustainably higher margins.</w:t>
      </w:r>
    </w:p>
    <w:bookmarkEnd w:id="21"/>
    <w:bookmarkStart w:id="22" w:name="questions-for-the-call"/>
    <w:p>
      <w:pPr>
        <w:pStyle w:val="Heading2"/>
      </w:pPr>
      <w:r>
        <w:t xml:space="preserve">Questions for the call</w:t>
      </w:r>
    </w:p>
    <w:p>
      <w:pPr>
        <w:pStyle w:val="Compact"/>
        <w:numPr>
          <w:ilvl w:val="0"/>
          <w:numId w:val="1007"/>
        </w:numPr>
      </w:pPr>
      <w:r>
        <w:t xml:space="preserve">How does current data-center order activity compare with the assumptions behind the</w:t>
      </w:r>
      <w:r>
        <w:t xml:space="preserve"> </w:t>
      </w:r>
      <m:oMath>
        <m:r>
          <m:t>5</m:t>
        </m:r>
        <m:r>
          <m:t>B</m:t>
        </m:r>
        <m:r>
          <m:rPr>
            <m:sty m:val="p"/>
          </m:rPr>
          <m:t>*</m:t>
        </m:r>
        <m:r>
          <m:rPr>
            <m:sty m:val="p"/>
          </m:rPr>
          <m:t>*</m:t>
        </m:r>
        <m:r>
          <m:t>2026</m:t>
        </m:r>
        <m:r>
          <m:t>a</m:t>
        </m:r>
        <m:r>
          <m:t>n</m:t>
        </m:r>
        <m:r>
          <m:t>d</m:t>
        </m:r>
        <m:r>
          <m:rPr>
            <m:sty m:val="p"/>
          </m:rPr>
          <m:t>*</m:t>
        </m:r>
        <m:r>
          <m:rPr>
            <m:sty m:val="p"/>
          </m:rPr>
          <m:t>*</m:t>
        </m:r>
        <m:r>
          <m:rPr>
            <m:sty m:val="p"/>
          </m:rPr>
          <m:t>&gt;</m:t>
        </m:r>
      </m:oMath>
      <w:r>
        <w:rPr>
          <w:b/>
          <w:bCs/>
        </w:rPr>
        <w:t xml:space="preserve">9B</w:t>
      </w:r>
      <w:r>
        <w:t xml:space="preserve"> </w:t>
      </w:r>
      <w:r>
        <w:t xml:space="preserve">2030 data-center revenue targets?</w:t>
      </w:r>
    </w:p>
    <w:p>
      <w:pPr>
        <w:pStyle w:val="Compact"/>
        <w:numPr>
          <w:ilvl w:val="0"/>
          <w:numId w:val="1007"/>
        </w:numPr>
      </w:pPr>
      <w:r>
        <w:t xml:space="preserve">Are Power Systems margins progressing in line with the</w:t>
      </w:r>
      <w:r>
        <w:t xml:space="preserve"> </w:t>
      </w:r>
      <w:r>
        <w:rPr>
          <w:b/>
          <w:bCs/>
        </w:rPr>
        <w:t xml:space="preserve">~25%–26%</w:t>
      </w:r>
      <w:r>
        <w:t xml:space="preserve"> </w:t>
      </w:r>
      <w:r>
        <w:t xml:space="preserve">full-year target after Q1’s unusually strong</w:t>
      </w:r>
      <w:r>
        <w:t xml:space="preserve"> </w:t>
      </w:r>
      <w:r>
        <w:rPr>
          <w:b/>
          <w:bCs/>
        </w:rPr>
        <w:t xml:space="preserve">29.5%</w:t>
      </w:r>
      <w:r>
        <w:t xml:space="preserve"> </w:t>
      </w:r>
      <w:r>
        <w:t xml:space="preserve">result?</w:t>
      </w:r>
    </w:p>
    <w:p>
      <w:pPr>
        <w:pStyle w:val="Compact"/>
        <w:numPr>
          <w:ilvl w:val="0"/>
          <w:numId w:val="1007"/>
        </w:numPr>
      </w:pPr>
      <w:r>
        <w:t xml:space="preserve">How much of the raised truck outlook is now reflected in customer orders, and how much is attributable to a potential EPA 2027 prebuy?</w:t>
      </w:r>
    </w:p>
    <w:p>
      <w:pPr>
        <w:pStyle w:val="Compact"/>
        <w:numPr>
          <w:ilvl w:val="0"/>
          <w:numId w:val="1007"/>
        </w:numPr>
      </w:pPr>
      <w:r>
        <w:t xml:space="preserve">Is Cummins seeing any supply-chain bottlenecks that could cap second-half North American truck production?</w:t>
      </w:r>
    </w:p>
    <w:p>
      <w:pPr>
        <w:pStyle w:val="Compact"/>
        <w:numPr>
          <w:ilvl w:val="0"/>
          <w:numId w:val="1007"/>
        </w:numPr>
      </w:pPr>
      <w:r>
        <w:t xml:space="preserve">What are the latest assumptions around the EPA 2027 rule and the B-platform’s January 2028 launch?</w:t>
      </w:r>
    </w:p>
    <w:p>
      <w:pPr>
        <w:pStyle w:val="Compact"/>
        <w:numPr>
          <w:ilvl w:val="0"/>
          <w:numId w:val="1007"/>
        </w:numPr>
      </w:pPr>
      <w:r>
        <w:t xml:space="preserve">Can Engine and Components margins begin to recover in Q2, or is the more meaningful step-up still a second-half event?</w:t>
      </w:r>
    </w:p>
    <w:p>
      <w:pPr>
        <w:pStyle w:val="Compact"/>
        <w:numPr>
          <w:ilvl w:val="0"/>
          <w:numId w:val="1007"/>
        </w:numPr>
      </w:pPr>
      <w:r>
        <w:t xml:space="preserve">What was the underlying Accelera EBITDA loss in Q2, and is the business tracking toward the</w:t>
      </w:r>
      <w:r>
        <w:t xml:space="preserve"> </w:t>
      </w:r>
      <m:oMath>
        <m:r>
          <m:t>270</m:t>
        </m:r>
        <m:r>
          <m:t>M</m:t>
        </m:r>
        <m:r>
          <m:rPr>
            <m:sty m:val="p"/>
          </m:rPr>
          <m:t>–</m:t>
        </m:r>
      </m:oMath>
      <w:r>
        <w:rPr>
          <w:b/>
          <w:bCs/>
        </w:rPr>
        <w:t xml:space="preserve">300M</w:t>
      </w:r>
      <w:r>
        <w:t xml:space="preserve"> </w:t>
      </w:r>
      <w:r>
        <w:t xml:space="preserve">full-year loss range?</w:t>
      </w:r>
    </w:p>
    <w:p>
      <w:pPr>
        <w:pStyle w:val="Compact"/>
        <w:numPr>
          <w:ilvl w:val="0"/>
          <w:numId w:val="1007"/>
        </w:numPr>
      </w:pPr>
      <w:r>
        <w:t xml:space="preserve">Has management’s view that tariffs are immaterial to 2026 EBITDA changed?</w:t>
      </w:r>
    </w:p>
    <w:p>
      <w:pPr>
        <w:pStyle w:val="Compact"/>
        <w:numPr>
          <w:ilvl w:val="0"/>
          <w:numId w:val="1007"/>
        </w:numPr>
      </w:pPr>
      <w:r>
        <w:t xml:space="preserve">How should investors think about working capital and free-cash-flow conversion as Power Systems capacity ramps?</w:t>
      </w:r>
    </w:p>
    <w:p>
      <w:pPr>
        <w:pStyle w:val="Compact"/>
        <w:numPr>
          <w:ilvl w:val="0"/>
          <w:numId w:val="1007"/>
        </w:numPr>
      </w:pPr>
      <w:r>
        <w:t xml:space="preserve">Does management see a path to another increase in 2026 guidance, or is current guidance appropriately calibrated after the Q1 raise?</w:t>
      </w:r>
    </w:p>
    <w:bookmarkEnd w:id="22"/>
    <w:bookmarkStart w:id="23" w:name="takeaway"/>
    <w:p>
      <w:pPr>
        <w:pStyle w:val="Heading2"/>
      </w:pPr>
      <w:r>
        <w:t xml:space="preserve">Takeaway</w:t>
      </w:r>
    </w:p>
    <w:p>
      <w:pPr>
        <w:pStyle w:val="FirstParagraph"/>
      </w:pPr>
      <w:r>
        <w:t xml:space="preserve">The most constructive Q2 outcome would be a</w:t>
      </w:r>
      <w:r>
        <w:t xml:space="preserve"> </w:t>
      </w:r>
      <w:r>
        <w:rPr>
          <w:b/>
          <w:bCs/>
        </w:rPr>
        <w:t xml:space="preserve">Power Systems-led beat</w:t>
      </w:r>
      <w:r>
        <w:t xml:space="preserve">, continued Distribution strength, visibly improving truck volumes, and either raised guidance or a clear indication that the upper end of current ranges is increasingly achievable. The key downside scenario is not necessarily weaker reported EPS; it is evidence that Power Systems margins are normalizing faster than expected, truck recovery is less tangible than anticipated, or regulatory and tariff uncertainty is constraining management’s confidence.</w:t>
      </w:r>
    </w:p>
    <w:p>
      <w:pPr>
        <w:pStyle w:val="BodyText"/>
      </w:pPr>
      <w:r>
        <w:rPr>
          <w:b/>
          <w:bCs/>
        </w:rPr>
        <w:t xml:space="preserve">Sources reviewed:</w:t>
      </w:r>
      <w:r>
        <w:t xml:space="preserve"> </w:t>
      </w:r>
      <w:r>
        <w:t xml:space="preserve">Cummins Q1 2026 earnings call and 10-Q; Cummins 2026 Analyst Day transcript; recent CMI/industrials news digest; CMI historical share-price data.</w:t>
      </w:r>
    </w:p>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2026-08-04T01:02:11Z</dcterms:created>
  <dcterms:modified xsi:type="dcterms:W3CDTF">2026-08-04T01:02:11Z</dcterms:modified>
</cp:coreProperties>
</file>

<file path=docProps/custom.xml><?xml version="1.0" encoding="utf-8"?>
<Properties xmlns="http://schemas.openxmlformats.org/officeDocument/2006/custom-properties" xmlns:vt="http://schemas.openxmlformats.org/officeDocument/2006/docPropsVTypes"/>
</file>