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Cummins Inc. (CMI)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Cummins Inc.</w:t>
            </w:r>
          </w:p>
        </w:tc>
        <w:tc>
          <w:tcPr>
            <w:tcW w:type="dxa" w:w="2160"/>
          </w:tcPr>
          <w:p>
            <w:r>
              <w:rPr>
                <w:rFonts w:ascii="Calibri" w:hAnsi="Calibri"/>
                <w:b/>
                <w:sz w:val="22"/>
              </w:rPr>
              <w:t>Ticker</w:t>
            </w:r>
          </w:p>
        </w:tc>
        <w:tc>
          <w:tcPr>
            <w:tcW w:type="dxa" w:w="2160"/>
          </w:tcPr>
          <w:p>
            <w:r>
              <w:rPr>
                <w:rFonts w:ascii="Calibri" w:hAnsi="Calibri"/>
                <w:sz w:val="22"/>
              </w:rPr>
              <w:t>CMI (NYSE)</w:t>
            </w:r>
          </w:p>
        </w:tc>
      </w:tr>
      <w:tr>
        <w:tc>
          <w:tcPr>
            <w:tcW w:type="dxa" w:w="2160"/>
          </w:tcPr>
          <w:p>
            <w:r>
              <w:rPr>
                <w:rFonts w:ascii="Calibri" w:hAnsi="Calibri"/>
                <w:b/>
                <w:sz w:val="22"/>
              </w:rPr>
              <w:t>Earnings Date</w:t>
            </w:r>
          </w:p>
        </w:tc>
        <w:tc>
          <w:tcPr>
            <w:tcW w:type="dxa" w:w="2160"/>
          </w:tcPr>
          <w:p>
            <w:r>
              <w:rPr>
                <w:rFonts w:ascii="Calibri" w:hAnsi="Calibri"/>
                <w:sz w:val="22"/>
              </w:rPr>
              <w:t>August 4, 2026 (Today, 10:00 AM ET)</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Prepared</w:t>
            </w:r>
          </w:p>
        </w:tc>
        <w:tc>
          <w:tcPr>
            <w:tcW w:type="dxa" w:w="2160"/>
          </w:tcPr>
          <w:p>
            <w:r>
              <w:rPr>
                <w:rFonts w:ascii="Calibri" w:hAnsi="Calibri"/>
                <w:sz w:val="22"/>
              </w:rPr>
              <w:t>August 4, 2026</w:t>
            </w:r>
          </w:p>
        </w:tc>
        <w:tc>
          <w:tcPr>
            <w:tcW w:type="dxa" w:w="2160"/>
          </w:tcPr>
          <w:p>
            <w:r>
              <w:rPr>
                <w:rFonts w:ascii="Calibri" w:hAnsi="Calibri"/>
                <w:b/>
                <w:sz w:val="22"/>
              </w:rPr>
              <w:t>Last Earnings</w:t>
            </w:r>
          </w:p>
        </w:tc>
        <w:tc>
          <w:tcPr>
            <w:tcW w:type="dxa" w:w="2160"/>
          </w:tcPr>
          <w:p>
            <w:r>
              <w:rPr>
                <w:rFonts w:ascii="Calibri" w:hAnsi="Calibri"/>
                <w:sz w:val="22"/>
              </w:rPr>
              <w:t>May 5,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bullish — consensus has been revised up since the Q1 beat and management explicitly flagged a "strong Q2 ahead," but the bar is now meaningfully higher and Power Systems margin normalization (below Q1's record) is the single biggest swing factor.</w:t>
      </w:r>
    </w:p>
    <w:p>
      <w:r>
        <w:rPr>
          <w:rFonts w:ascii="Calibri" w:hAnsi="Calibri"/>
          <w:color w:val="525866"/>
          <w:sz w:val="22"/>
        </w:rPr>
        <w:t xml:space="preserve">Heading into Q2 2026, the bar for CMI is elevated but not unreasonable: consensus expects revenue of ~$9.31B (+7.8% YoY) and operating EPS of ~$7.20, both of which reflect the raised full-year guidance management issued on May 5. </w:t>
      </w:r>
      <w:r>
        <w:rPr>
          <w:rFonts w:ascii="Calibri" w:hAnsi="Calibri"/>
          <w:color w:val="525866"/>
          <w:sz w:val="22"/>
        </w:rPr>
        <w:t xml:space="preserve">Management was unambiguous on the Q1 call that Q2 would be a step-up quarter — "a strong Q2 ahead" — driven by accelerating North America truck volumes (heavy-duty production ramping from ~250 to ~400 engines/day by end of June) and continued data center strength in Power Systems, where the 2026 full-year revenue guide was raised to +14%–19% YoY. </w:t>
      </w:r>
      <w:r>
        <w:rPr>
          <w:rFonts w:ascii="Calibri" w:hAnsi="Calibri"/>
          <w:color w:val="525866"/>
          <w:sz w:val="22"/>
        </w:rPr>
        <w:t xml:space="preserve">Estimate revisions have been broadly stable-to-slightly-lower since the post-Q1 spike (Q2 EPS consensus moved from $7.39 on May 8 to $7.20 today), suggesting the street has modestly trimmed the initial enthusiasm — a mild cushion rather than a stretched bar. </w:t>
      </w:r>
      <w:r>
        <w:rPr>
          <w:rFonts w:ascii="Calibri" w:hAnsi="Calibri"/>
          <w:color w:val="525866"/>
          <w:sz w:val="22"/>
        </w:rPr>
        <w:t xml:space="preserve">The stock is down ~4% since the Q1 print (vs. XLI roughly flat), implying the market has partially de-rated CMI despite the raised guidance, likely reflecting concerns about Power Systems margin normalization and the Caterpillar AI data-center downgrade overhang. </w:t>
      </w:r>
      <w:r>
        <w:rPr>
          <w:rFonts w:ascii="Calibri" w:hAnsi="Calibri"/>
          <w:color w:val="525866"/>
          <w:sz w:val="22"/>
        </w:rPr>
        <w:t xml:space="preserve">The key wildcard is </w:t>
      </w:r>
      <w:r>
        <w:rPr>
          <w:rFonts w:ascii="Calibri" w:hAnsi="Calibri"/>
          <w:b/>
          <w:color w:val="525866"/>
          <w:sz w:val="22"/>
        </w:rPr>
        <w:t>Power Systems EBITDA margin</w:t>
      </w:r>
      <w:r>
        <w:rPr>
          <w:rFonts w:ascii="Calibri" w:hAnsi="Calibri"/>
          <w:color w:val="525866"/>
          <w:sz w:val="22"/>
        </w:rPr>
        <w:t>: Q1 hit a record ~29.5% aided by one-time tariff and cost recoveries that management explicitly said would not fully repeat — if Q2 comes in at the guided 25%–26% range or better, the print should be well-received; a miss there would be the primary downside risk.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high but achievable bar on revenue (~$9.3B, +7.8% YoY) and operating EPS (~$7.20); the bigger swing factor is </w:t>
      </w:r>
      <w:r>
        <w:rPr>
          <w:rFonts w:ascii="Calibri" w:hAnsi="Calibri"/>
          <w:b/>
          <w:color w:val="525866"/>
          <w:sz w:val="22"/>
        </w:rPr>
        <w:t>Power Systems revenue and margin</w:t>
      </w:r>
      <w:r>
        <w:rPr>
          <w:rFonts w:ascii="Calibri" w:hAnsi="Calibri"/>
          <w:color w:val="525866"/>
          <w:sz w:val="22"/>
        </w:rPr>
        <w:t>, where Q1 set a record that management guided would moderate — any upside there would be the primary beat driver.</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(Raised May 5)</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 ($B)</w:t>
            </w:r>
          </w:p>
        </w:tc>
        <w:tc>
          <w:tcPr>
            <w:tcW w:type="dxa" w:w="1234"/>
          </w:tcPr>
          <w:p>
            <w:r>
              <w:rPr>
                <w:rFonts w:ascii="Calibri" w:hAnsi="Calibri"/>
                <w:sz w:val="22"/>
              </w:rPr>
              <w:t>$8.40B</w:t>
            </w:r>
          </w:p>
        </w:tc>
        <w:tc>
          <w:tcPr>
            <w:tcW w:type="dxa" w:w="1234"/>
          </w:tcPr>
          <w:p>
            <w:r>
              <w:rPr>
                <w:rFonts w:ascii="Calibri" w:hAnsi="Calibri"/>
                <w:sz w:val="22"/>
              </w:rPr>
              <w:t>$8.64B</w:t>
            </w:r>
          </w:p>
        </w:tc>
        <w:tc>
          <w:tcPr>
            <w:tcW w:type="dxa" w:w="1234"/>
          </w:tcPr>
          <w:p>
            <w:r>
              <w:rPr>
                <w:rFonts w:ascii="Calibri" w:hAnsi="Calibri"/>
                <w:sz w:val="22"/>
              </w:rPr>
              <w:t>$9.31B</w:t>
            </w:r>
          </w:p>
        </w:tc>
        <w:tc>
          <w:tcPr>
            <w:tcW w:type="dxa" w:w="1234"/>
          </w:tcPr>
          <w:p>
            <w:r>
              <w:rPr>
                <w:rFonts w:ascii="Calibri" w:hAnsi="Calibri"/>
                <w:b/>
                <w:color w:val="30A46C"/>
                <w:sz w:val="22"/>
              </w:rPr>
              <w:t>+7.8%</w:t>
            </w:r>
          </w:p>
        </w:tc>
        <w:tc>
          <w:tcPr>
            <w:tcW w:type="dxa" w:w="1234"/>
          </w:tcPr>
          <w:p>
            <w:r>
              <w:rPr>
                <w:rFonts w:ascii="Calibri" w:hAnsi="Calibri"/>
                <w:sz w:val="22"/>
              </w:rPr>
              <w:t>+8% to +11% YoY (~$37.3B FY)</w:t>
            </w:r>
          </w:p>
        </w:tc>
        <w:tc>
          <w:tcPr>
            <w:tcW w:type="dxa" w:w="1234"/>
          </w:tcPr>
          <w:p>
            <w:r>
              <w:rPr>
                <w:rFonts w:ascii="Calibri" w:hAnsi="Calibri"/>
                <w:sz w:val="22"/>
              </w:rPr>
              <w:t>~+0.1% vs. midpoint</w:t>
            </w:r>
          </w:p>
        </w:tc>
      </w:tr>
      <w:tr>
        <w:tc>
          <w:tcPr>
            <w:tcW w:type="dxa" w:w="1234"/>
          </w:tcPr>
          <w:p>
            <w:r>
              <w:rPr>
                <w:rFonts w:ascii="Calibri" w:hAnsi="Calibri"/>
                <w:sz w:val="22"/>
              </w:rPr>
              <w:t>Operating EPS (Diluted, Adj.)</w:t>
            </w:r>
          </w:p>
        </w:tc>
        <w:tc>
          <w:tcPr>
            <w:tcW w:type="dxa" w:w="1234"/>
          </w:tcPr>
          <w:p>
            <w:r>
              <w:rPr>
                <w:rFonts w:ascii="Calibri" w:hAnsi="Calibri"/>
                <w:sz w:val="22"/>
              </w:rPr>
              <w:t>$6.15</w:t>
            </w:r>
          </w:p>
        </w:tc>
        <w:tc>
          <w:tcPr>
            <w:tcW w:type="dxa" w:w="1234"/>
          </w:tcPr>
          <w:p>
            <w:r>
              <w:rPr>
                <w:rFonts w:ascii="Calibri" w:hAnsi="Calibri"/>
                <w:sz w:val="22"/>
              </w:rPr>
              <w:t>$6.43</w:t>
            </w:r>
          </w:p>
        </w:tc>
        <w:tc>
          <w:tcPr>
            <w:tcW w:type="dxa" w:w="1234"/>
          </w:tcPr>
          <w:p>
            <w:r>
              <w:rPr>
                <w:rFonts w:ascii="Calibri" w:hAnsi="Calibri"/>
                <w:sz w:val="22"/>
              </w:rPr>
              <w:t>$7.20</w:t>
            </w:r>
          </w:p>
        </w:tc>
        <w:tc>
          <w:tcPr>
            <w:tcW w:type="dxa" w:w="1234"/>
          </w:tcPr>
          <w:p>
            <w:r>
              <w:rPr>
                <w:rFonts w:ascii="Calibri" w:hAnsi="Calibri"/>
                <w:b/>
                <w:color w:val="30A46C"/>
                <w:sz w:val="22"/>
              </w:rPr>
              <w:t>+12.0%</w:t>
            </w:r>
          </w:p>
        </w:tc>
        <w:tc>
          <w:tcPr>
            <w:tcW w:type="dxa" w:w="1234"/>
          </w:tcPr>
          <w:p>
            <w:r>
              <w:rPr>
                <w:rFonts w:ascii="Calibri" w:hAnsi="Calibri"/>
                <w:sz w:val="22"/>
              </w:rPr>
              <w:t>FY 2026 consensus ~$29.46</w:t>
            </w:r>
          </w:p>
        </w:tc>
        <w:tc>
          <w:tcPr>
            <w:tcW w:type="dxa" w:w="1234"/>
          </w:tcPr>
          <w:p>
            <w:r>
              <w:rPr>
                <w:rFonts w:ascii="Calibri" w:hAnsi="Calibri"/>
                <w:sz w:val="22"/>
              </w:rPr>
              <w:t>N/A — no per-share FY guidance</w:t>
            </w:r>
          </w:p>
        </w:tc>
      </w:tr>
      <w:tr>
        <w:tc>
          <w:tcPr>
            <w:tcW w:type="dxa" w:w="1234"/>
          </w:tcPr>
          <w:p>
            <w:r>
              <w:rPr>
                <w:rFonts w:ascii="Calibri" w:hAnsi="Calibri"/>
                <w:sz w:val="22"/>
              </w:rPr>
              <w:t>Power Systems Revenue ($B)</w:t>
            </w:r>
          </w:p>
        </w:tc>
        <w:tc>
          <w:tcPr>
            <w:tcW w:type="dxa" w:w="1234"/>
          </w:tcPr>
          <w:p>
            <w:r>
              <w:rPr>
                <w:rFonts w:ascii="Calibri" w:hAnsi="Calibri"/>
                <w:sz w:val="22"/>
              </w:rPr>
              <w:t>$1.96B</w:t>
            </w:r>
          </w:p>
        </w:tc>
        <w:tc>
          <w:tcPr>
            <w:tcW w:type="dxa" w:w="1234"/>
          </w:tcPr>
          <w:p>
            <w:r>
              <w:rPr>
                <w:rFonts w:ascii="Calibri" w:hAnsi="Calibri"/>
                <w:sz w:val="22"/>
              </w:rPr>
              <w:t>$1.89B</w:t>
            </w:r>
          </w:p>
        </w:tc>
        <w:tc>
          <w:tcPr>
            <w:tcW w:type="dxa" w:w="1234"/>
          </w:tcPr>
          <w:p>
            <w:r>
              <w:rPr>
                <w:rFonts w:ascii="Calibri" w:hAnsi="Calibri"/>
                <w:sz w:val="22"/>
              </w:rPr>
              <w:t>$2.19B</w:t>
            </w:r>
          </w:p>
        </w:tc>
        <w:tc>
          <w:tcPr>
            <w:tcW w:type="dxa" w:w="1234"/>
          </w:tcPr>
          <w:p>
            <w:r>
              <w:rPr>
                <w:rFonts w:ascii="Calibri" w:hAnsi="Calibri"/>
                <w:b/>
                <w:color w:val="30A46C"/>
                <w:sz w:val="22"/>
              </w:rPr>
              <w:t>+16.0%</w:t>
            </w:r>
          </w:p>
        </w:tc>
        <w:tc>
          <w:tcPr>
            <w:tcW w:type="dxa" w:w="1234"/>
          </w:tcPr>
          <w:p>
            <w:r>
              <w:rPr>
                <w:rFonts w:ascii="Calibri" w:hAnsi="Calibri"/>
                <w:sz w:val="22"/>
              </w:rPr>
              <w:t>+14% to +19% YoY</w:t>
            </w:r>
          </w:p>
        </w:tc>
        <w:tc>
          <w:tcPr>
            <w:tcW w:type="dxa" w:w="1234"/>
          </w:tcPr>
          <w:p>
            <w:r>
              <w:rPr>
                <w:rFonts w:ascii="Calibri" w:hAnsi="Calibri"/>
                <w:sz w:val="22"/>
              </w:rPr>
              <w:t>~+0.3% vs. midpoint</w:t>
            </w:r>
          </w:p>
        </w:tc>
      </w:tr>
      <w:tr>
        <w:tc>
          <w:tcPr>
            <w:tcW w:type="dxa" w:w="1234"/>
          </w:tcPr>
          <w:p>
            <w:r>
              <w:rPr>
                <w:rFonts w:ascii="Calibri" w:hAnsi="Calibri"/>
                <w:sz w:val="22"/>
              </w:rPr>
              <w:t>EBITDA Margin (%)</w:t>
            </w:r>
          </w:p>
        </w:tc>
        <w:tc>
          <w:tcPr>
            <w:tcW w:type="dxa" w:w="1234"/>
          </w:tcPr>
          <w:p>
            <w:r>
              <w:rPr>
                <w:rFonts w:ascii="Calibri" w:hAnsi="Calibri"/>
                <w:sz w:val="22"/>
              </w:rPr>
              <w:t>15.4%</w:t>
            </w:r>
          </w:p>
        </w:tc>
        <w:tc>
          <w:tcPr>
            <w:tcW w:type="dxa" w:w="1234"/>
          </w:tcPr>
          <w:p>
            <w:r>
              <w:rPr>
                <w:rFonts w:ascii="Calibri" w:hAnsi="Calibri"/>
                <w:sz w:val="22"/>
              </w:rPr>
              <w:t>18.4%</w:t>
            </w:r>
          </w:p>
        </w:tc>
        <w:tc>
          <w:tcPr>
            <w:tcW w:type="dxa" w:w="1234"/>
          </w:tcPr>
          <w:p>
            <w:r>
              <w:rPr>
                <w:rFonts w:ascii="Calibri" w:hAnsi="Calibri"/>
                <w:sz w:val="22"/>
              </w:rPr>
              <w:t>17.9%</w:t>
            </w:r>
          </w:p>
        </w:tc>
        <w:tc>
          <w:tcPr>
            <w:tcW w:type="dxa" w:w="1234"/>
          </w:tcPr>
          <w:p>
            <w:r>
              <w:rPr>
                <w:rFonts w:ascii="Calibri" w:hAnsi="Calibri"/>
                <w:b/>
                <w:color w:val="E5484D"/>
                <w:sz w:val="22"/>
              </w:rPr>
              <w:t>-50 bps YoY</w:t>
            </w:r>
          </w:p>
        </w:tc>
        <w:tc>
          <w:tcPr>
            <w:tcW w:type="dxa" w:w="1234"/>
          </w:tcPr>
          <w:p>
            <w:r>
              <w:rPr>
                <w:rFonts w:ascii="Calibri" w:hAnsi="Calibri"/>
                <w:sz w:val="22"/>
              </w:rPr>
              <w:t>17.75% to 18.5%</w:t>
            </w:r>
          </w:p>
        </w:tc>
        <w:tc>
          <w:tcPr>
            <w:tcW w:type="dxa" w:w="1234"/>
          </w:tcPr>
          <w:p>
            <w:r>
              <w:rPr>
                <w:rFonts w:ascii="Calibri" w:hAnsi="Calibri"/>
                <w:sz w:val="22"/>
              </w:rPr>
              <w:t>~-0.2% vs. midpoint</w:t>
            </w:r>
          </w:p>
        </w:tc>
      </w:tr>
      <w:tr>
        <w:tc>
          <w:tcPr>
            <w:tcW w:type="dxa" w:w="1234"/>
          </w:tcPr>
          <w:p>
            <w:r>
              <w:rPr>
                <w:rFonts w:ascii="Calibri" w:hAnsi="Calibri"/>
                <w:sz w:val="22"/>
              </w:rPr>
              <w:t>Power Systems EBITDA (Op.) ($M)</w:t>
            </w:r>
          </w:p>
        </w:tc>
        <w:tc>
          <w:tcPr>
            <w:tcW w:type="dxa" w:w="1234"/>
          </w:tcPr>
          <w:p>
            <w:r>
              <w:rPr>
                <w:rFonts w:ascii="Calibri" w:hAnsi="Calibri"/>
                <w:sz w:val="22"/>
              </w:rPr>
              <w:t>$577M</w:t>
            </w:r>
          </w:p>
        </w:tc>
        <w:tc>
          <w:tcPr>
            <w:tcW w:type="dxa" w:w="1234"/>
          </w:tcPr>
          <w:p>
            <w:r>
              <w:rPr>
                <w:rFonts w:ascii="Calibri" w:hAnsi="Calibri"/>
                <w:sz w:val="22"/>
              </w:rPr>
              <w:t>$430M</w:t>
            </w:r>
          </w:p>
        </w:tc>
        <w:tc>
          <w:tcPr>
            <w:tcW w:type="dxa" w:w="1234"/>
          </w:tcPr>
          <w:p>
            <w:r>
              <w:rPr>
                <w:rFonts w:ascii="Calibri" w:hAnsi="Calibri"/>
                <w:sz w:val="22"/>
              </w:rPr>
              <w:t>$535M</w:t>
            </w:r>
          </w:p>
        </w:tc>
        <w:tc>
          <w:tcPr>
            <w:tcW w:type="dxa" w:w="1234"/>
          </w:tcPr>
          <w:p>
            <w:r>
              <w:rPr>
                <w:rFonts w:ascii="Calibri" w:hAnsi="Calibri"/>
                <w:b/>
                <w:color w:val="30A46C"/>
                <w:sz w:val="22"/>
              </w:rPr>
              <w:t>+24.4%</w:t>
            </w:r>
          </w:p>
        </w:tc>
        <w:tc>
          <w:tcPr>
            <w:tcW w:type="dxa" w:w="1234"/>
          </w:tcPr>
          <w:p>
            <w:r>
              <w:rPr>
                <w:rFonts w:ascii="Calibri" w:hAnsi="Calibri"/>
                <w:sz w:val="22"/>
              </w:rPr>
              <w:t>Margin guided 25%–26%</w:t>
            </w:r>
          </w:p>
        </w:tc>
        <w:tc>
          <w:tcPr>
            <w:tcW w:type="dxa" w:w="1234"/>
          </w:tcPr>
          <w:p>
            <w:r>
              <w:rPr>
                <w:rFonts w:ascii="Calibri" w:hAnsi="Calibri"/>
                <w:sz w:val="22"/>
              </w:rPr>
              <w:t>Implied ~24.4% margin vs. 25–26% guide</w:t>
            </w:r>
          </w:p>
        </w:tc>
      </w:tr>
    </w:tbl>
    <w:p>
      <w:r>
        <w:rPr>
          <w:rFonts w:ascii="Calibri" w:hAnsi="Calibri"/>
          <w:i/>
          <w:color w:val="525866"/>
          <w:sz w:val="22"/>
        </w:rPr>
        <w:t>Sources: Visible Alpha Consensus and Actuals Data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Operating EPS (Diluted, Adjusted)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$6.15</w:t>
            </w:r>
          </w:p>
        </w:tc>
        <w:tc>
          <w:tcPr>
            <w:tcW w:type="dxa" w:w="1728"/>
          </w:tcPr>
          <w:p>
            <w:r>
              <w:rPr>
                <w:rFonts w:ascii="Calibri" w:hAnsi="Calibri"/>
                <w:sz w:val="22"/>
              </w:rPr>
              <w:t>$5.57</w:t>
            </w:r>
          </w:p>
        </w:tc>
        <w:tc>
          <w:tcPr>
            <w:tcW w:type="dxa" w:w="1728"/>
          </w:tcPr>
          <w:p>
            <w:r>
              <w:rPr>
                <w:rFonts w:ascii="Calibri" w:hAnsi="Calibri"/>
                <w:b/>
                <w:color w:val="30A46C"/>
                <w:sz w:val="22"/>
              </w:rPr>
              <w:t>+10.4%</w:t>
            </w:r>
          </w:p>
        </w:tc>
        <w:tc>
          <w:tcPr>
            <w:tcW w:type="dxa" w:w="1728"/>
          </w:tcPr>
          <w:p>
            <w:r>
              <w:rPr>
                <w:rFonts w:ascii="Calibri" w:hAnsi="Calibri"/>
                <w:sz w:val="22"/>
              </w:rPr>
              <w:t>✅ Beat</w:t>
            </w:r>
          </w:p>
        </w:tc>
      </w:tr>
      <w:tr>
        <w:tc>
          <w:tcPr>
            <w:tcW w:type="dxa" w:w="1728"/>
          </w:tcPr>
          <w:p>
            <w:r>
              <w:rPr>
                <w:rFonts w:ascii="Calibri" w:hAnsi="Calibri"/>
                <w:sz w:val="22"/>
              </w:rPr>
              <w:t>Q4 2025</w:t>
            </w:r>
          </w:p>
        </w:tc>
        <w:tc>
          <w:tcPr>
            <w:tcW w:type="dxa" w:w="1728"/>
          </w:tcPr>
          <w:p>
            <w:r>
              <w:rPr>
                <w:rFonts w:ascii="Calibri" w:hAnsi="Calibri"/>
                <w:sz w:val="22"/>
              </w:rPr>
              <w:t>$5.81</w:t>
            </w:r>
          </w:p>
        </w:tc>
        <w:tc>
          <w:tcPr>
            <w:tcW w:type="dxa" w:w="1728"/>
          </w:tcPr>
          <w:p>
            <w:r>
              <w:rPr>
                <w:rFonts w:ascii="Calibri" w:hAnsi="Calibri"/>
                <w:sz w:val="22"/>
              </w:rPr>
              <w:t>$5.04</w:t>
            </w:r>
          </w:p>
        </w:tc>
        <w:tc>
          <w:tcPr>
            <w:tcW w:type="dxa" w:w="1728"/>
          </w:tcPr>
          <w:p>
            <w:r>
              <w:rPr>
                <w:rFonts w:ascii="Calibri" w:hAnsi="Calibri"/>
                <w:b/>
                <w:color w:val="30A46C"/>
                <w:sz w:val="22"/>
              </w:rPr>
              <w:t>+15.3%</w:t>
            </w:r>
          </w:p>
        </w:tc>
        <w:tc>
          <w:tcPr>
            <w:tcW w:type="dxa" w:w="1728"/>
          </w:tcPr>
          <w:p>
            <w:r>
              <w:rPr>
                <w:rFonts w:ascii="Calibri" w:hAnsi="Calibri"/>
                <w:sz w:val="22"/>
              </w:rPr>
              <w:t>✅ Beat</w:t>
            </w:r>
          </w:p>
        </w:tc>
      </w:tr>
      <w:tr>
        <w:tc>
          <w:tcPr>
            <w:tcW w:type="dxa" w:w="1728"/>
          </w:tcPr>
          <w:p>
            <w:r>
              <w:rPr>
                <w:rFonts w:ascii="Calibri" w:hAnsi="Calibri"/>
                <w:sz w:val="22"/>
              </w:rPr>
              <w:t>Q3 2025</w:t>
            </w:r>
          </w:p>
        </w:tc>
        <w:tc>
          <w:tcPr>
            <w:tcW w:type="dxa" w:w="1728"/>
          </w:tcPr>
          <w:p>
            <w:r>
              <w:rPr>
                <w:rFonts w:ascii="Calibri" w:hAnsi="Calibri"/>
                <w:sz w:val="22"/>
              </w:rPr>
              <w:t>$5.59</w:t>
            </w:r>
          </w:p>
        </w:tc>
        <w:tc>
          <w:tcPr>
            <w:tcW w:type="dxa" w:w="1728"/>
          </w:tcPr>
          <w:p>
            <w:r>
              <w:rPr>
                <w:rFonts w:ascii="Calibri" w:hAnsi="Calibri"/>
                <w:sz w:val="22"/>
              </w:rPr>
              <w:t>$4.65</w:t>
            </w:r>
          </w:p>
        </w:tc>
        <w:tc>
          <w:tcPr>
            <w:tcW w:type="dxa" w:w="1728"/>
          </w:tcPr>
          <w:p>
            <w:r>
              <w:rPr>
                <w:rFonts w:ascii="Calibri" w:hAnsi="Calibri"/>
                <w:b/>
                <w:color w:val="30A46C"/>
                <w:sz w:val="22"/>
              </w:rPr>
              <w:t>+20.2%</w:t>
            </w:r>
          </w:p>
        </w:tc>
        <w:tc>
          <w:tcPr>
            <w:tcW w:type="dxa" w:w="1728"/>
          </w:tcPr>
          <w:p>
            <w:r>
              <w:rPr>
                <w:rFonts w:ascii="Calibri" w:hAnsi="Calibri"/>
                <w:sz w:val="22"/>
              </w:rPr>
              <w:t>✅ Beat</w:t>
            </w:r>
          </w:p>
        </w:tc>
      </w:tr>
      <w:tr>
        <w:tc>
          <w:tcPr>
            <w:tcW w:type="dxa" w:w="1728"/>
          </w:tcPr>
          <w:p>
            <w:r>
              <w:rPr>
                <w:rFonts w:ascii="Calibri" w:hAnsi="Calibri"/>
                <w:sz w:val="22"/>
              </w:rPr>
              <w:t>Q2 2025</w:t>
            </w:r>
          </w:p>
        </w:tc>
        <w:tc>
          <w:tcPr>
            <w:tcW w:type="dxa" w:w="1728"/>
          </w:tcPr>
          <w:p>
            <w:r>
              <w:rPr>
                <w:rFonts w:ascii="Calibri" w:hAnsi="Calibri"/>
                <w:sz w:val="22"/>
              </w:rPr>
              <w:t>$6.43</w:t>
            </w:r>
          </w:p>
        </w:tc>
        <w:tc>
          <w:tcPr>
            <w:tcW w:type="dxa" w:w="1728"/>
          </w:tcPr>
          <w:p>
            <w:r>
              <w:rPr>
                <w:rFonts w:ascii="Calibri" w:hAnsi="Calibri"/>
                <w:sz w:val="22"/>
              </w:rPr>
              <w:t>$5.03</w:t>
            </w:r>
          </w:p>
        </w:tc>
        <w:tc>
          <w:tcPr>
            <w:tcW w:type="dxa" w:w="1728"/>
          </w:tcPr>
          <w:p>
            <w:r>
              <w:rPr>
                <w:rFonts w:ascii="Calibri" w:hAnsi="Calibri"/>
                <w:b/>
                <w:color w:val="30A46C"/>
                <w:sz w:val="22"/>
              </w:rPr>
              <w:t>+27.8%</w:t>
            </w:r>
          </w:p>
        </w:tc>
        <w:tc>
          <w:tcPr>
            <w:tcW w:type="dxa" w:w="1728"/>
          </w:tcPr>
          <w:p>
            <w:r>
              <w:rPr>
                <w:rFonts w:ascii="Calibri" w:hAnsi="Calibri"/>
                <w:sz w:val="22"/>
              </w:rPr>
              <w:t>✅ Beat</w:t>
            </w:r>
          </w:p>
        </w:tc>
      </w:tr>
      <w:tr>
        <w:tc>
          <w:tcPr>
            <w:tcW w:type="dxa" w:w="1728"/>
          </w:tcPr>
          <w:p>
            <w:r>
              <w:rPr>
                <w:rFonts w:ascii="Calibri" w:hAnsi="Calibri"/>
                <w:sz w:val="22"/>
              </w:rPr>
              <w:t>Q1 2025</w:t>
            </w:r>
          </w:p>
        </w:tc>
        <w:tc>
          <w:tcPr>
            <w:tcW w:type="dxa" w:w="1728"/>
          </w:tcPr>
          <w:p>
            <w:r>
              <w:rPr>
                <w:rFonts w:ascii="Calibri" w:hAnsi="Calibri"/>
                <w:sz w:val="22"/>
              </w:rPr>
              <w:t>$5.96</w:t>
            </w:r>
          </w:p>
        </w:tc>
        <w:tc>
          <w:tcPr>
            <w:tcW w:type="dxa" w:w="1728"/>
          </w:tcPr>
          <w:p>
            <w:r>
              <w:rPr>
                <w:rFonts w:ascii="Calibri" w:hAnsi="Calibri"/>
                <w:sz w:val="22"/>
              </w:rPr>
              <w:t>$4.88</w:t>
            </w:r>
          </w:p>
        </w:tc>
        <w:tc>
          <w:tcPr>
            <w:tcW w:type="dxa" w:w="1728"/>
          </w:tcPr>
          <w:p>
            <w:r>
              <w:rPr>
                <w:rFonts w:ascii="Calibri" w:hAnsi="Calibri"/>
                <w:b/>
                <w:color w:val="30A46C"/>
                <w:sz w:val="22"/>
              </w:rPr>
              <w:t>+22.1%</w:t>
            </w:r>
          </w:p>
        </w:tc>
        <w:tc>
          <w:tcPr>
            <w:tcW w:type="dxa" w:w="1728"/>
          </w:tcPr>
          <w:p>
            <w:r>
              <w:rPr>
                <w:rFonts w:ascii="Calibri" w:hAnsi="Calibri"/>
                <w:sz w:val="22"/>
              </w:rPr>
              <w:t>✅ Beat</w:t>
            </w:r>
          </w:p>
        </w:tc>
      </w:tr>
      <w:tr>
        <w:tc>
          <w:tcPr>
            <w:tcW w:type="dxa" w:w="1728"/>
          </w:tcPr>
          <w:p>
            <w:r>
              <w:rPr>
                <w:rFonts w:ascii="Calibri" w:hAnsi="Calibri"/>
                <w:sz w:val="22"/>
              </w:rPr>
              <w:t>Q4 2024</w:t>
            </w:r>
          </w:p>
        </w:tc>
        <w:tc>
          <w:tcPr>
            <w:tcW w:type="dxa" w:w="1728"/>
          </w:tcPr>
          <w:p>
            <w:r>
              <w:rPr>
                <w:rFonts w:ascii="Calibri" w:hAnsi="Calibri"/>
                <w:sz w:val="22"/>
              </w:rPr>
              <w:t>$5.16</w:t>
            </w:r>
          </w:p>
        </w:tc>
        <w:tc>
          <w:tcPr>
            <w:tcW w:type="dxa" w:w="1728"/>
          </w:tcPr>
          <w:p>
            <w:r>
              <w:rPr>
                <w:rFonts w:ascii="Calibri" w:hAnsi="Calibri"/>
                <w:sz w:val="22"/>
              </w:rPr>
              <w:t>$4.65</w:t>
            </w:r>
          </w:p>
        </w:tc>
        <w:tc>
          <w:tcPr>
            <w:tcW w:type="dxa" w:w="1728"/>
          </w:tcPr>
          <w:p>
            <w:r>
              <w:rPr>
                <w:rFonts w:ascii="Calibri" w:hAnsi="Calibri"/>
                <w:b/>
                <w:color w:val="30A46C"/>
                <w:sz w:val="22"/>
              </w:rPr>
              <w:t>+11.0%</w:t>
            </w:r>
          </w:p>
        </w:tc>
        <w:tc>
          <w:tcPr>
            <w:tcW w:type="dxa" w:w="1728"/>
          </w:tcPr>
          <w:p>
            <w:r>
              <w:rPr>
                <w:rFonts w:ascii="Calibri" w:hAnsi="Calibri"/>
                <w:sz w:val="22"/>
              </w:rPr>
              <w:t>✅ Beat</w:t>
            </w:r>
          </w:p>
        </w:tc>
      </w:tr>
      <w:tr>
        <w:tc>
          <w:tcPr>
            <w:tcW w:type="dxa" w:w="1728"/>
          </w:tcPr>
          <w:p>
            <w:r>
              <w:rPr>
                <w:rFonts w:ascii="Calibri" w:hAnsi="Calibri"/>
                <w:sz w:val="22"/>
              </w:rPr>
              <w:t>Q3 2024</w:t>
            </w:r>
          </w:p>
        </w:tc>
        <w:tc>
          <w:tcPr>
            <w:tcW w:type="dxa" w:w="1728"/>
          </w:tcPr>
          <w:p>
            <w:r>
              <w:rPr>
                <w:rFonts w:ascii="Calibri" w:hAnsi="Calibri"/>
                <w:sz w:val="22"/>
              </w:rPr>
              <w:t>$5.86</w:t>
            </w:r>
          </w:p>
        </w:tc>
        <w:tc>
          <w:tcPr>
            <w:tcW w:type="dxa" w:w="1728"/>
          </w:tcPr>
          <w:p>
            <w:r>
              <w:rPr>
                <w:rFonts w:ascii="Calibri" w:hAnsi="Calibri"/>
                <w:sz w:val="22"/>
              </w:rPr>
              <w:t>$4.80</w:t>
            </w:r>
          </w:p>
        </w:tc>
        <w:tc>
          <w:tcPr>
            <w:tcW w:type="dxa" w:w="1728"/>
          </w:tcPr>
          <w:p>
            <w:r>
              <w:rPr>
                <w:rFonts w:ascii="Calibri" w:hAnsi="Calibri"/>
                <w:b/>
                <w:color w:val="30A46C"/>
                <w:sz w:val="22"/>
              </w:rPr>
              <w:t>+22.1%</w:t>
            </w:r>
          </w:p>
        </w:tc>
        <w:tc>
          <w:tcPr>
            <w:tcW w:type="dxa" w:w="1728"/>
          </w:tcPr>
          <w:p>
            <w:r>
              <w:rPr>
                <w:rFonts w:ascii="Calibri" w:hAnsi="Calibri"/>
                <w:sz w:val="22"/>
              </w:rPr>
              <w:t>✅ Beat</w:t>
            </w:r>
          </w:p>
        </w:tc>
      </w:tr>
      <w:tr>
        <w:tc>
          <w:tcPr>
            <w:tcW w:type="dxa" w:w="1728"/>
          </w:tcPr>
          <w:p>
            <w:r>
              <w:rPr>
                <w:rFonts w:ascii="Calibri" w:hAnsi="Calibri"/>
                <w:sz w:val="22"/>
              </w:rPr>
              <w:t>Q2 2024</w:t>
            </w:r>
          </w:p>
        </w:tc>
        <w:tc>
          <w:tcPr>
            <w:tcW w:type="dxa" w:w="1728"/>
          </w:tcPr>
          <w:p>
            <w:r>
              <w:rPr>
                <w:rFonts w:ascii="Calibri" w:hAnsi="Calibri"/>
                <w:sz w:val="22"/>
              </w:rPr>
              <w:t>N/A — pre-8Q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Top KPI #2: Power Systems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$1.956B</w:t>
            </w:r>
          </w:p>
        </w:tc>
        <w:tc>
          <w:tcPr>
            <w:tcW w:type="dxa" w:w="1728"/>
          </w:tcPr>
          <w:p>
            <w:r>
              <w:rPr>
                <w:rFonts w:ascii="Calibri" w:hAnsi="Calibri"/>
                <w:sz w:val="22"/>
              </w:rPr>
              <w:t>$1.937B</w:t>
            </w:r>
          </w:p>
        </w:tc>
        <w:tc>
          <w:tcPr>
            <w:tcW w:type="dxa" w:w="1728"/>
          </w:tcPr>
          <w:p>
            <w:r>
              <w:rPr>
                <w:rFonts w:ascii="Calibri" w:hAnsi="Calibri"/>
                <w:b/>
                <w:color w:val="30A46C"/>
                <w:sz w:val="22"/>
              </w:rPr>
              <w:t>+1.0%</w:t>
            </w:r>
          </w:p>
        </w:tc>
        <w:tc>
          <w:tcPr>
            <w:tcW w:type="dxa" w:w="1728"/>
          </w:tcPr>
          <w:p>
            <w:r>
              <w:rPr>
                <w:rFonts w:ascii="Calibri" w:hAnsi="Calibri"/>
                <w:sz w:val="22"/>
              </w:rPr>
              <w:t>✅ Beat</w:t>
            </w:r>
          </w:p>
        </w:tc>
      </w:tr>
      <w:tr>
        <w:tc>
          <w:tcPr>
            <w:tcW w:type="dxa" w:w="1728"/>
          </w:tcPr>
          <w:p>
            <w:r>
              <w:rPr>
                <w:rFonts w:ascii="Calibri" w:hAnsi="Calibri"/>
                <w:sz w:val="22"/>
              </w:rPr>
              <w:t>Q4 2025</w:t>
            </w:r>
          </w:p>
        </w:tc>
        <w:tc>
          <w:tcPr>
            <w:tcW w:type="dxa" w:w="1728"/>
          </w:tcPr>
          <w:p>
            <w:r>
              <w:rPr>
                <w:rFonts w:ascii="Calibri" w:hAnsi="Calibri"/>
                <w:sz w:val="22"/>
              </w:rPr>
              <w:t>$1.929B</w:t>
            </w:r>
          </w:p>
        </w:tc>
        <w:tc>
          <w:tcPr>
            <w:tcW w:type="dxa" w:w="1728"/>
          </w:tcPr>
          <w:p>
            <w:r>
              <w:rPr>
                <w:rFonts w:ascii="Calibri" w:hAnsi="Calibri"/>
                <w:sz w:val="22"/>
              </w:rPr>
              <w:t>$2.028B</w:t>
            </w:r>
          </w:p>
        </w:tc>
        <w:tc>
          <w:tcPr>
            <w:tcW w:type="dxa" w:w="1728"/>
          </w:tcPr>
          <w:p>
            <w:r>
              <w:rPr>
                <w:rFonts w:ascii="Calibri" w:hAnsi="Calibri"/>
                <w:b/>
                <w:color w:val="E5484D"/>
                <w:sz w:val="22"/>
              </w:rPr>
              <w:t>-4.9%</w:t>
            </w:r>
          </w:p>
        </w:tc>
        <w:tc>
          <w:tcPr>
            <w:tcW w:type="dxa" w:w="1728"/>
          </w:tcPr>
          <w:p>
            <w:r>
              <w:rPr>
                <w:rFonts w:ascii="Calibri" w:hAnsi="Calibri"/>
                <w:sz w:val="22"/>
              </w:rPr>
              <w:t>❌ Miss</w:t>
            </w:r>
          </w:p>
        </w:tc>
      </w:tr>
      <w:tr>
        <w:tc>
          <w:tcPr>
            <w:tcW w:type="dxa" w:w="1728"/>
          </w:tcPr>
          <w:p>
            <w:r>
              <w:rPr>
                <w:rFonts w:ascii="Calibri" w:hAnsi="Calibri"/>
                <w:sz w:val="22"/>
              </w:rPr>
              <w:t>Q3 2025</w:t>
            </w:r>
          </w:p>
        </w:tc>
        <w:tc>
          <w:tcPr>
            <w:tcW w:type="dxa" w:w="1728"/>
          </w:tcPr>
          <w:p>
            <w:r>
              <w:rPr>
                <w:rFonts w:ascii="Calibri" w:hAnsi="Calibri"/>
                <w:sz w:val="22"/>
              </w:rPr>
              <w:t>$1.996B</w:t>
            </w:r>
          </w:p>
        </w:tc>
        <w:tc>
          <w:tcPr>
            <w:tcW w:type="dxa" w:w="1728"/>
          </w:tcPr>
          <w:p>
            <w:r>
              <w:rPr>
                <w:rFonts w:ascii="Calibri" w:hAnsi="Calibri"/>
                <w:sz w:val="22"/>
              </w:rPr>
              <w:t>$1.898B</w:t>
            </w:r>
          </w:p>
        </w:tc>
        <w:tc>
          <w:tcPr>
            <w:tcW w:type="dxa" w:w="1728"/>
          </w:tcPr>
          <w:p>
            <w:r>
              <w:rPr>
                <w:rFonts w:ascii="Calibri" w:hAnsi="Calibri"/>
                <w:b/>
                <w:color w:val="30A46C"/>
                <w:sz w:val="22"/>
              </w:rPr>
              <w:t>+5.2%</w:t>
            </w:r>
          </w:p>
        </w:tc>
        <w:tc>
          <w:tcPr>
            <w:tcW w:type="dxa" w:w="1728"/>
          </w:tcPr>
          <w:p>
            <w:r>
              <w:rPr>
                <w:rFonts w:ascii="Calibri" w:hAnsi="Calibri"/>
                <w:sz w:val="22"/>
              </w:rPr>
              <w:t>✅ Beat</w:t>
            </w:r>
          </w:p>
        </w:tc>
      </w:tr>
      <w:tr>
        <w:tc>
          <w:tcPr>
            <w:tcW w:type="dxa" w:w="1728"/>
          </w:tcPr>
          <w:p>
            <w:r>
              <w:rPr>
                <w:rFonts w:ascii="Calibri" w:hAnsi="Calibri"/>
                <w:sz w:val="22"/>
              </w:rPr>
              <w:t>Q2 2025</w:t>
            </w:r>
          </w:p>
        </w:tc>
        <w:tc>
          <w:tcPr>
            <w:tcW w:type="dxa" w:w="1728"/>
          </w:tcPr>
          <w:p>
            <w:r>
              <w:rPr>
                <w:rFonts w:ascii="Calibri" w:hAnsi="Calibri"/>
                <w:sz w:val="22"/>
              </w:rPr>
              <w:t>$1.889B</w:t>
            </w:r>
          </w:p>
        </w:tc>
        <w:tc>
          <w:tcPr>
            <w:tcW w:type="dxa" w:w="1728"/>
          </w:tcPr>
          <w:p>
            <w:r>
              <w:rPr>
                <w:rFonts w:ascii="Calibri" w:hAnsi="Calibri"/>
                <w:sz w:val="22"/>
              </w:rPr>
              <w:t>$1.748B</w:t>
            </w:r>
          </w:p>
        </w:tc>
        <w:tc>
          <w:tcPr>
            <w:tcW w:type="dxa" w:w="1728"/>
          </w:tcPr>
          <w:p>
            <w:r>
              <w:rPr>
                <w:rFonts w:ascii="Calibri" w:hAnsi="Calibri"/>
                <w:b/>
                <w:color w:val="30A46C"/>
                <w:sz w:val="22"/>
              </w:rPr>
              <w:t>+8.1%</w:t>
            </w:r>
          </w:p>
        </w:tc>
        <w:tc>
          <w:tcPr>
            <w:tcW w:type="dxa" w:w="1728"/>
          </w:tcPr>
          <w:p>
            <w:r>
              <w:rPr>
                <w:rFonts w:ascii="Calibri" w:hAnsi="Calibri"/>
                <w:sz w:val="22"/>
              </w:rPr>
              <w:t>✅ Beat</w:t>
            </w:r>
          </w:p>
        </w:tc>
      </w:tr>
      <w:tr>
        <w:tc>
          <w:tcPr>
            <w:tcW w:type="dxa" w:w="1728"/>
          </w:tcPr>
          <w:p>
            <w:r>
              <w:rPr>
                <w:rFonts w:ascii="Calibri" w:hAnsi="Calibri"/>
                <w:sz w:val="22"/>
              </w:rPr>
              <w:t>Q1 2025</w:t>
            </w:r>
          </w:p>
        </w:tc>
        <w:tc>
          <w:tcPr>
            <w:tcW w:type="dxa" w:w="1728"/>
          </w:tcPr>
          <w:p>
            <w:r>
              <w:rPr>
                <w:rFonts w:ascii="Calibri" w:hAnsi="Calibri"/>
                <w:sz w:val="22"/>
              </w:rPr>
              <w:t>$1.649B</w:t>
            </w:r>
          </w:p>
        </w:tc>
        <w:tc>
          <w:tcPr>
            <w:tcW w:type="dxa" w:w="1728"/>
          </w:tcPr>
          <w:p>
            <w:r>
              <w:rPr>
                <w:rFonts w:ascii="Calibri" w:hAnsi="Calibri"/>
                <w:sz w:val="22"/>
              </w:rPr>
              <w:t>$1.539B</w:t>
            </w:r>
          </w:p>
        </w:tc>
        <w:tc>
          <w:tcPr>
            <w:tcW w:type="dxa" w:w="1728"/>
          </w:tcPr>
          <w:p>
            <w:r>
              <w:rPr>
                <w:rFonts w:ascii="Calibri" w:hAnsi="Calibri"/>
                <w:b/>
                <w:color w:val="30A46C"/>
                <w:sz w:val="22"/>
              </w:rPr>
              <w:t>+7.2%</w:t>
            </w:r>
          </w:p>
        </w:tc>
        <w:tc>
          <w:tcPr>
            <w:tcW w:type="dxa" w:w="1728"/>
          </w:tcPr>
          <w:p>
            <w:r>
              <w:rPr>
                <w:rFonts w:ascii="Calibri" w:hAnsi="Calibri"/>
                <w:sz w:val="22"/>
              </w:rPr>
              <w:t>✅ Beat</w:t>
            </w:r>
          </w:p>
        </w:tc>
      </w:tr>
      <w:tr>
        <w:tc>
          <w:tcPr>
            <w:tcW w:type="dxa" w:w="1728"/>
          </w:tcPr>
          <w:p>
            <w:r>
              <w:rPr>
                <w:rFonts w:ascii="Calibri" w:hAnsi="Calibri"/>
                <w:sz w:val="22"/>
              </w:rPr>
              <w:t>Q4 2024</w:t>
            </w:r>
          </w:p>
        </w:tc>
        <w:tc>
          <w:tcPr>
            <w:tcW w:type="dxa" w:w="1728"/>
          </w:tcPr>
          <w:p>
            <w:r>
              <w:rPr>
                <w:rFonts w:ascii="Calibri" w:hAnsi="Calibri"/>
                <w:sz w:val="22"/>
              </w:rPr>
              <w:t>$1.743B</w:t>
            </w:r>
          </w:p>
        </w:tc>
        <w:tc>
          <w:tcPr>
            <w:tcW w:type="dxa" w:w="1728"/>
          </w:tcPr>
          <w:p>
            <w:r>
              <w:rPr>
                <w:rFonts w:ascii="Calibri" w:hAnsi="Calibri"/>
                <w:sz w:val="22"/>
              </w:rPr>
              <w:t>$1.600B</w:t>
            </w:r>
          </w:p>
        </w:tc>
        <w:tc>
          <w:tcPr>
            <w:tcW w:type="dxa" w:w="1728"/>
          </w:tcPr>
          <w:p>
            <w:r>
              <w:rPr>
                <w:rFonts w:ascii="Calibri" w:hAnsi="Calibri"/>
                <w:b/>
                <w:color w:val="30A46C"/>
                <w:sz w:val="22"/>
              </w:rPr>
              <w:t>+8.9%</w:t>
            </w:r>
          </w:p>
        </w:tc>
        <w:tc>
          <w:tcPr>
            <w:tcW w:type="dxa" w:w="1728"/>
          </w:tcPr>
          <w:p>
            <w:r>
              <w:rPr>
                <w:rFonts w:ascii="Calibri" w:hAnsi="Calibri"/>
                <w:sz w:val="22"/>
              </w:rPr>
              <w:t>✅ Beat</w:t>
            </w:r>
          </w:p>
        </w:tc>
      </w:tr>
      <w:tr>
        <w:tc>
          <w:tcPr>
            <w:tcW w:type="dxa" w:w="1728"/>
          </w:tcPr>
          <w:p>
            <w:r>
              <w:rPr>
                <w:rFonts w:ascii="Calibri" w:hAnsi="Calibri"/>
                <w:sz w:val="22"/>
              </w:rPr>
              <w:t>Q3 2024</w:t>
            </w:r>
          </w:p>
        </w:tc>
        <w:tc>
          <w:tcPr>
            <w:tcW w:type="dxa" w:w="1728"/>
          </w:tcPr>
          <w:p>
            <w:r>
              <w:rPr>
                <w:rFonts w:ascii="Calibri" w:hAnsi="Calibri"/>
                <w:sz w:val="22"/>
              </w:rPr>
              <w:t>$1.687B</w:t>
            </w:r>
          </w:p>
        </w:tc>
        <w:tc>
          <w:tcPr>
            <w:tcW w:type="dxa" w:w="1728"/>
          </w:tcPr>
          <w:p>
            <w:r>
              <w:rPr>
                <w:rFonts w:ascii="Calibri" w:hAnsi="Calibri"/>
                <w:sz w:val="22"/>
              </w:rPr>
              <w:t>$1.547B</w:t>
            </w:r>
          </w:p>
        </w:tc>
        <w:tc>
          <w:tcPr>
            <w:tcW w:type="dxa" w:w="1728"/>
          </w:tcPr>
          <w:p>
            <w:r>
              <w:rPr>
                <w:rFonts w:ascii="Calibri" w:hAnsi="Calibri"/>
                <w:b/>
                <w:color w:val="30A46C"/>
                <w:sz w:val="22"/>
              </w:rPr>
              <w:t>+9.0%</w:t>
            </w:r>
          </w:p>
        </w:tc>
        <w:tc>
          <w:tcPr>
            <w:tcW w:type="dxa" w:w="1728"/>
          </w:tcPr>
          <w:p>
            <w:r>
              <w:rPr>
                <w:rFonts w:ascii="Calibri" w:hAnsi="Calibri"/>
                <w:sz w:val="22"/>
              </w:rPr>
              <w:t>✅ Beat</w:t>
            </w:r>
          </w:p>
        </w:tc>
      </w:tr>
      <w:tr>
        <w:tc>
          <w:tcPr>
            <w:tcW w:type="dxa" w:w="1728"/>
          </w:tcPr>
          <w:p>
            <w:r>
              <w:rPr>
                <w:rFonts w:ascii="Calibri" w:hAnsi="Calibri"/>
                <w:sz w:val="22"/>
              </w:rPr>
              <w:t>Q2 2024</w:t>
            </w:r>
          </w:p>
        </w:tc>
        <w:tc>
          <w:tcPr>
            <w:tcW w:type="dxa" w:w="1728"/>
          </w:tcPr>
          <w:p>
            <w:r>
              <w:rPr>
                <w:rFonts w:ascii="Calibri" w:hAnsi="Calibri"/>
                <w:sz w:val="22"/>
              </w:rPr>
              <w:t>N/A — pre-8Q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CMI has beaten operating EPS consensus in every quarter shown, with surprise magnitudes consistently in the +10%–28% range — a remarkably consistent track record that reflects conservative guidance-setting. Power Systems revenue has beaten in 6 of 7 quarters, with the lone Q4 2025 miss driven by timing of international deliveries. The high beat frequency on EPS has likely contributed to elevated consensus expectations heading into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materially raised all segment guidance on May 5 (Q1 earnings) and then raised 2030 long-term targets again at the May 21 Analyst Day — tone is the most confident it has been in two years, with no post-earnings guidance revisions needed as the original raise was already aggressive.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5, 2026 Q1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Growth (FY 2026)</w:t>
            </w:r>
          </w:p>
        </w:tc>
        <w:tc>
          <w:tcPr>
            <w:tcW w:type="dxa" w:w="1728"/>
          </w:tcPr>
          <w:p>
            <w:r>
              <w:rPr>
                <w:rFonts w:ascii="Calibri" w:hAnsi="Calibri"/>
                <w:sz w:val="22"/>
              </w:rPr>
              <w:t>+8% to +11% YoY (raised from +3% to +8%)</w:t>
            </w:r>
          </w:p>
        </w:tc>
        <w:tc>
          <w:tcPr>
            <w:tcW w:type="dxa" w:w="1728"/>
          </w:tcPr>
          <w:p>
            <w:r>
              <w:rPr>
                <w:rFonts w:ascii="Calibri" w:hAnsi="Calibri"/>
                <w:sz w:val="22"/>
              </w:rPr>
              <w:t>—</w:t>
            </w:r>
          </w:p>
        </w:tc>
        <w:tc>
          <w:tcPr>
            <w:tcW w:type="dxa" w:w="1728"/>
          </w:tcPr>
          <w:p>
            <w:r>
              <w:rPr>
                <w:rFonts w:ascii="Calibri" w:hAnsi="Calibri"/>
                <w:sz w:val="22"/>
              </w:rPr>
              <w:t>~+8.5% YoY (~$37.3B)</w:t>
            </w:r>
          </w:p>
        </w:tc>
        <w:tc>
          <w:tcPr>
            <w:tcW w:type="dxa" w:w="1728"/>
          </w:tcPr>
          <w:p>
            <w:r>
              <w:rPr>
                <w:rFonts w:ascii="Calibri" w:hAnsi="Calibri"/>
                <w:sz w:val="22"/>
              </w:rPr>
              <w:t>Raised at Q1 earnings; consensus tracking near low end of range</w:t>
            </w:r>
          </w:p>
        </w:tc>
      </w:tr>
      <w:tr>
        <w:tc>
          <w:tcPr>
            <w:tcW w:type="dxa" w:w="1728"/>
          </w:tcPr>
          <w:p>
            <w:r>
              <w:rPr>
                <w:rFonts w:ascii="Calibri" w:hAnsi="Calibri"/>
                <w:sz w:val="22"/>
              </w:rPr>
              <w:t>EBITDA Margin (FY 2026)</w:t>
            </w:r>
          </w:p>
        </w:tc>
        <w:tc>
          <w:tcPr>
            <w:tcW w:type="dxa" w:w="1728"/>
          </w:tcPr>
          <w:p>
            <w:r>
              <w:rPr>
                <w:rFonts w:ascii="Calibri" w:hAnsi="Calibri"/>
                <w:sz w:val="22"/>
              </w:rPr>
              <w:t>17.75% to 18.5% (raised from ~17.0%–17.5%)</w:t>
            </w:r>
          </w:p>
        </w:tc>
        <w:tc>
          <w:tcPr>
            <w:tcW w:type="dxa" w:w="1728"/>
          </w:tcPr>
          <w:p>
            <w:r>
              <w:rPr>
                <w:rFonts w:ascii="Calibri" w:hAnsi="Calibri"/>
                <w:sz w:val="22"/>
              </w:rPr>
              <w:t>—</w:t>
            </w:r>
          </w:p>
        </w:tc>
        <w:tc>
          <w:tcPr>
            <w:tcW w:type="dxa" w:w="1728"/>
          </w:tcPr>
          <w:p>
            <w:r>
              <w:rPr>
                <w:rFonts w:ascii="Calibri" w:hAnsi="Calibri"/>
                <w:sz w:val="22"/>
              </w:rPr>
              <w:t>~18.0%</w:t>
            </w:r>
          </w:p>
        </w:tc>
        <w:tc>
          <w:tcPr>
            <w:tcW w:type="dxa" w:w="1728"/>
          </w:tcPr>
          <w:p>
            <w:r>
              <w:rPr>
                <w:rFonts w:ascii="Calibri" w:hAnsi="Calibri"/>
                <w:sz w:val="22"/>
              </w:rPr>
              <w:t>Raised at Q1 earnings; consensus at midpoint</w:t>
            </w:r>
          </w:p>
        </w:tc>
      </w:tr>
      <w:tr>
        <w:tc>
          <w:tcPr>
            <w:tcW w:type="dxa" w:w="1728"/>
          </w:tcPr>
          <w:p>
            <w:r>
              <w:rPr>
                <w:rFonts w:ascii="Calibri" w:hAnsi="Calibri"/>
                <w:sz w:val="22"/>
              </w:rPr>
              <w:t>Engine Segment Revenue (FY 2026)</w:t>
            </w:r>
          </w:p>
        </w:tc>
        <w:tc>
          <w:tcPr>
            <w:tcW w:type="dxa" w:w="1728"/>
          </w:tcPr>
          <w:p>
            <w:r>
              <w:rPr>
                <w:rFonts w:ascii="Calibri" w:hAnsi="Calibri"/>
                <w:sz w:val="22"/>
              </w:rPr>
              <w:t>+7% to +12% YoY (raised from flat to +5%)</w:t>
            </w:r>
          </w:p>
        </w:tc>
        <w:tc>
          <w:tcPr>
            <w:tcW w:type="dxa" w:w="1728"/>
          </w:tcPr>
          <w:p>
            <w:r>
              <w:rPr>
                <w:rFonts w:ascii="Calibri" w:hAnsi="Calibri"/>
                <w:sz w:val="22"/>
              </w:rPr>
              <w:t>—</w:t>
            </w:r>
          </w:p>
        </w:tc>
        <w:tc>
          <w:tcPr>
            <w:tcW w:type="dxa" w:w="1728"/>
          </w:tcPr>
          <w:p>
            <w:r>
              <w:rPr>
                <w:rFonts w:ascii="Calibri" w:hAnsi="Calibri"/>
                <w:sz w:val="22"/>
              </w:rPr>
              <w:t>Tracking guidance range</w:t>
            </w:r>
          </w:p>
        </w:tc>
        <w:tc>
          <w:tcPr>
            <w:tcW w:type="dxa" w:w="1728"/>
          </w:tcPr>
          <w:p>
            <w:r>
              <w:rPr>
                <w:rFonts w:ascii="Calibri" w:hAnsi="Calibri"/>
                <w:sz w:val="22"/>
              </w:rPr>
              <w:t>↑ Raised at Q1 earnings; NA truck ramp faster than expected</w:t>
            </w:r>
          </w:p>
        </w:tc>
      </w:tr>
      <w:tr>
        <w:tc>
          <w:tcPr>
            <w:tcW w:type="dxa" w:w="1728"/>
          </w:tcPr>
          <w:p>
            <w:r>
              <w:rPr>
                <w:rFonts w:ascii="Calibri" w:hAnsi="Calibri"/>
                <w:sz w:val="22"/>
              </w:rPr>
              <w:t>Engine Segment EBITDA Margin (FY 2026)</w:t>
            </w:r>
          </w:p>
        </w:tc>
        <w:tc>
          <w:tcPr>
            <w:tcW w:type="dxa" w:w="1728"/>
          </w:tcPr>
          <w:p>
            <w:r>
              <w:rPr>
                <w:rFonts w:ascii="Calibri" w:hAnsi="Calibri"/>
                <w:sz w:val="22"/>
              </w:rPr>
              <w:t>12.5% to 13.5% (raised +50 bps at midpoint)</w:t>
            </w:r>
          </w:p>
        </w:tc>
        <w:tc>
          <w:tcPr>
            <w:tcW w:type="dxa" w:w="1728"/>
          </w:tcPr>
          <w:p>
            <w:r>
              <w:rPr>
                <w:rFonts w:ascii="Calibri" w:hAnsi="Calibri"/>
                <w:sz w:val="22"/>
              </w:rPr>
              <w:t>—</w:t>
            </w:r>
          </w:p>
        </w:tc>
        <w:tc>
          <w:tcPr>
            <w:tcW w:type="dxa" w:w="1728"/>
          </w:tcPr>
          <w:p>
            <w:r>
              <w:rPr>
                <w:rFonts w:ascii="Calibri" w:hAnsi="Calibri"/>
                <w:sz w:val="22"/>
              </w:rPr>
              <w:t>Tracking guidance range</w:t>
            </w:r>
          </w:p>
        </w:tc>
        <w:tc>
          <w:tcPr>
            <w:tcW w:type="dxa" w:w="1728"/>
          </w:tcPr>
          <w:p>
            <w:r>
              <w:rPr>
                <w:rFonts w:ascii="Calibri" w:hAnsi="Calibri"/>
                <w:sz w:val="22"/>
              </w:rPr>
              <w:t>↑ Raised at Q1 earnings; tariff recovery and volume leverage</w:t>
            </w:r>
          </w:p>
        </w:tc>
      </w:tr>
      <w:tr>
        <w:tc>
          <w:tcPr>
            <w:tcW w:type="dxa" w:w="1728"/>
          </w:tcPr>
          <w:p>
            <w:r>
              <w:rPr>
                <w:rFonts w:ascii="Calibri" w:hAnsi="Calibri"/>
                <w:sz w:val="22"/>
              </w:rPr>
              <w:t>Power Systems Revenue (FY 2026)</w:t>
            </w:r>
          </w:p>
        </w:tc>
        <w:tc>
          <w:tcPr>
            <w:tcW w:type="dxa" w:w="1728"/>
          </w:tcPr>
          <w:p>
            <w:r>
              <w:rPr>
                <w:rFonts w:ascii="Calibri" w:hAnsi="Calibri"/>
                <w:sz w:val="22"/>
              </w:rPr>
              <w:t>+14% to +19% YoY (raised from +12% to +17%)</w:t>
            </w:r>
          </w:p>
        </w:tc>
        <w:tc>
          <w:tcPr>
            <w:tcW w:type="dxa" w:w="1728"/>
          </w:tcPr>
          <w:p>
            <w:r>
              <w:rPr>
                <w:rFonts w:ascii="Calibri" w:hAnsi="Calibri"/>
                <w:sz w:val="22"/>
              </w:rPr>
              <w:t>—</w:t>
            </w:r>
          </w:p>
        </w:tc>
        <w:tc>
          <w:tcPr>
            <w:tcW w:type="dxa" w:w="1728"/>
          </w:tcPr>
          <w:p>
            <w:r>
              <w:rPr>
                <w:rFonts w:ascii="Calibri" w:hAnsi="Calibri"/>
                <w:sz w:val="22"/>
              </w:rPr>
              <w:t>~$8.75B (+14.5% YoY)</w:t>
            </w:r>
          </w:p>
        </w:tc>
        <w:tc>
          <w:tcPr>
            <w:tcW w:type="dxa" w:w="1728"/>
          </w:tcPr>
          <w:p>
            <w:r>
              <w:rPr>
                <w:rFonts w:ascii="Calibri" w:hAnsi="Calibri"/>
                <w:sz w:val="22"/>
              </w:rPr>
              <w:t>↑ Raised at Q1 earnings; data center demand accelerating internationally</w:t>
            </w:r>
          </w:p>
        </w:tc>
      </w:tr>
      <w:tr>
        <w:tc>
          <w:tcPr>
            <w:tcW w:type="dxa" w:w="1728"/>
          </w:tcPr>
          <w:p>
            <w:r>
              <w:rPr>
                <w:rFonts w:ascii="Calibri" w:hAnsi="Calibri"/>
                <w:sz w:val="22"/>
              </w:rPr>
              <w:t>Power Systems EBITDA Margin (FY 2026)</w:t>
            </w:r>
          </w:p>
        </w:tc>
        <w:tc>
          <w:tcPr>
            <w:tcW w:type="dxa" w:w="1728"/>
          </w:tcPr>
          <w:p>
            <w:r>
              <w:rPr>
                <w:rFonts w:ascii="Calibri" w:hAnsi="Calibri"/>
                <w:sz w:val="22"/>
              </w:rPr>
              <w:t>~25% to 26% (raised from 23% to 24%)</w:t>
            </w:r>
          </w:p>
        </w:tc>
        <w:tc>
          <w:tcPr>
            <w:tcW w:type="dxa" w:w="1728"/>
          </w:tcPr>
          <w:p>
            <w:r>
              <w:rPr>
                <w:rFonts w:ascii="Calibri" w:hAnsi="Calibri"/>
                <w:sz w:val="22"/>
              </w:rPr>
              <w:t>—</w:t>
            </w:r>
          </w:p>
        </w:tc>
        <w:tc>
          <w:tcPr>
            <w:tcW w:type="dxa" w:w="1728"/>
          </w:tcPr>
          <w:p>
            <w:r>
              <w:rPr>
                <w:rFonts w:ascii="Calibri" w:hAnsi="Calibri"/>
                <w:sz w:val="22"/>
              </w:rPr>
              <w:t>Tracking guidance range</w:t>
            </w:r>
          </w:p>
        </w:tc>
        <w:tc>
          <w:tcPr>
            <w:tcW w:type="dxa" w:w="1728"/>
          </w:tcPr>
          <w:p>
            <w:r>
              <w:rPr>
                <w:rFonts w:ascii="Calibri" w:hAnsi="Calibri"/>
                <w:sz w:val="22"/>
              </w:rPr>
              <w:t>↑ Raised at Q1 earnings; Q1 record margin not expected to fully repeat</w:t>
            </w:r>
          </w:p>
        </w:tc>
      </w:tr>
      <w:tr>
        <w:tc>
          <w:tcPr>
            <w:tcW w:type="dxa" w:w="1728"/>
          </w:tcPr>
          <w:p>
            <w:r>
              <w:rPr>
                <w:rFonts w:ascii="Calibri" w:hAnsi="Calibri"/>
                <w:sz w:val="22"/>
              </w:rPr>
              <w:t>Distribution Revenue (FY 2026)</w:t>
            </w:r>
          </w:p>
        </w:tc>
        <w:tc>
          <w:tcPr>
            <w:tcW w:type="dxa" w:w="1728"/>
          </w:tcPr>
          <w:p>
            <w:r>
              <w:rPr>
                <w:rFonts w:ascii="Calibri" w:hAnsi="Calibri"/>
                <w:sz w:val="22"/>
              </w:rPr>
              <w:t>+9% to +14% YoY (raised from +5% to +10%)</w:t>
            </w:r>
          </w:p>
        </w:tc>
        <w:tc>
          <w:tcPr>
            <w:tcW w:type="dxa" w:w="1728"/>
          </w:tcPr>
          <w:p>
            <w:r>
              <w:rPr>
                <w:rFonts w:ascii="Calibri" w:hAnsi="Calibri"/>
                <w:sz w:val="22"/>
              </w:rPr>
              <w:t>—</w:t>
            </w:r>
          </w:p>
        </w:tc>
        <w:tc>
          <w:tcPr>
            <w:tcW w:type="dxa" w:w="1728"/>
          </w:tcPr>
          <w:p>
            <w:r>
              <w:rPr>
                <w:rFonts w:ascii="Calibri" w:hAnsi="Calibri"/>
                <w:sz w:val="22"/>
              </w:rPr>
              <w:t>Tracking guidance range</w:t>
            </w:r>
          </w:p>
        </w:tc>
        <w:tc>
          <w:tcPr>
            <w:tcW w:type="dxa" w:w="1728"/>
          </w:tcPr>
          <w:p>
            <w:r>
              <w:rPr>
                <w:rFonts w:ascii="Calibri" w:hAnsi="Calibri"/>
                <w:sz w:val="22"/>
              </w:rPr>
              <w:t>↑ Raised at Q1 earnings; power generation equipment demand</w:t>
            </w:r>
          </w:p>
        </w:tc>
      </w:tr>
      <w:tr>
        <w:tc>
          <w:tcPr>
            <w:tcW w:type="dxa" w:w="1728"/>
          </w:tcPr>
          <w:p>
            <w:r>
              <w:rPr>
                <w:rFonts w:ascii="Calibri" w:hAnsi="Calibri"/>
                <w:sz w:val="22"/>
              </w:rPr>
              <w:t>Accelera Net Losses (FY 2026)</w:t>
            </w:r>
          </w:p>
        </w:tc>
        <w:tc>
          <w:tcPr>
            <w:tcW w:type="dxa" w:w="1728"/>
          </w:tcPr>
          <w:p>
            <w:r>
              <w:rPr>
                <w:rFonts w:ascii="Calibri" w:hAnsi="Calibri"/>
                <w:sz w:val="22"/>
              </w:rPr>
              <w:t>$270M–$300M loss (improved from $325M–$355M)</w:t>
            </w:r>
          </w:p>
        </w:tc>
        <w:tc>
          <w:tcPr>
            <w:tcW w:type="dxa" w:w="1728"/>
          </w:tcPr>
          <w:p>
            <w:r>
              <w:rPr>
                <w:rFonts w:ascii="Calibri" w:hAnsi="Calibri"/>
                <w:sz w:val="22"/>
              </w:rPr>
              <w:t>—</w:t>
            </w:r>
          </w:p>
        </w:tc>
        <w:tc>
          <w:tcPr>
            <w:tcW w:type="dxa" w:w="1728"/>
          </w:tcPr>
          <w:p>
            <w:r>
              <w:rPr>
                <w:rFonts w:ascii="Calibri" w:hAnsi="Calibri"/>
                <w:sz w:val="22"/>
              </w:rPr>
              <w:t>Tracking guidance range</w:t>
            </w:r>
          </w:p>
        </w:tc>
        <w:tc>
          <w:tcPr>
            <w:tcW w:type="dxa" w:w="1728"/>
          </w:tcPr>
          <w:p>
            <w:r>
              <w:rPr>
                <w:rFonts w:ascii="Calibri" w:hAnsi="Calibri"/>
                <w:sz w:val="22"/>
              </w:rPr>
              <w:t>↑ Improved at Q1 earnings; fuel cell sale + electrolyzer wind-down</w:t>
            </w:r>
          </w:p>
        </w:tc>
      </w:tr>
      <w:tr>
        <w:tc>
          <w:tcPr>
            <w:tcW w:type="dxa" w:w="1728"/>
          </w:tcPr>
          <w:p>
            <w:r>
              <w:rPr>
                <w:rFonts w:ascii="Calibri" w:hAnsi="Calibri"/>
                <w:sz w:val="22"/>
              </w:rPr>
              <w:t>NA Heavy-Duty Truck Market (FY 2026)</w:t>
            </w:r>
          </w:p>
        </w:tc>
        <w:tc>
          <w:tcPr>
            <w:tcW w:type="dxa" w:w="1728"/>
          </w:tcPr>
          <w:p>
            <w:r>
              <w:rPr>
                <w:rFonts w:ascii="Calibri" w:hAnsi="Calibri"/>
                <w:sz w:val="22"/>
              </w:rPr>
              <w:t>230,000–250,000 units (raised from 220,000–240,000)</w:t>
            </w:r>
          </w:p>
        </w:tc>
        <w:tc>
          <w:tcPr>
            <w:tcW w:type="dxa" w:w="1728"/>
          </w:tcPr>
          <w:p>
            <w:r>
              <w:rPr>
                <w:rFonts w:ascii="Calibri" w:hAnsi="Calibri"/>
                <w:sz w:val="22"/>
              </w:rPr>
              <w:t>—</w:t>
            </w:r>
          </w:p>
        </w:tc>
        <w:tc>
          <w:tcPr>
            <w:tcW w:type="dxa" w:w="1728"/>
          </w:tcPr>
          <w:p>
            <w:r>
              <w:rPr>
                <w:rFonts w:ascii="Calibri" w:hAnsi="Calibri"/>
                <w:sz w:val="22"/>
              </w:rPr>
              <w:t>PCAR Q2 call confirms ~250,000 unit market</w:t>
            </w:r>
          </w:p>
        </w:tc>
        <w:tc>
          <w:tcPr>
            <w:tcW w:type="dxa" w:w="1728"/>
          </w:tcPr>
          <w:p>
            <w:r>
              <w:rPr>
                <w:rFonts w:ascii="Calibri" w:hAnsi="Calibri"/>
                <w:sz w:val="22"/>
              </w:rPr>
              <w:t>↑ Raised at Q1 earnings; PCAR commentary corroborates upper end</w:t>
            </w:r>
          </w:p>
        </w:tc>
      </w:tr>
      <w:tr>
        <w:tc>
          <w:tcPr>
            <w:tcW w:type="dxa" w:w="1728"/>
          </w:tcPr>
          <w:p>
            <w:r>
              <w:rPr>
                <w:rFonts w:ascii="Calibri" w:hAnsi="Calibri"/>
                <w:sz w:val="22"/>
              </w:rPr>
              <w:t>2030 Revenue Target</w:t>
            </w:r>
          </w:p>
        </w:tc>
        <w:tc>
          <w:tcPr>
            <w:tcW w:type="dxa" w:w="1728"/>
          </w:tcPr>
          <w:p>
            <w:r>
              <w:rPr>
                <w:rFonts w:ascii="Calibri" w:hAnsi="Calibri"/>
                <w:sz w:val="22"/>
              </w:rPr>
              <w:t>$45B–$50B (raised from $43B–$48B at May 21 Analyst Day)</w:t>
            </w:r>
          </w:p>
        </w:tc>
        <w:tc>
          <w:tcPr>
            <w:tcW w:type="dxa" w:w="1728"/>
          </w:tcPr>
          <w:p>
            <w:r>
              <w:rPr>
                <w:rFonts w:ascii="Calibri" w:hAnsi="Calibri"/>
                <w:sz w:val="22"/>
              </w:rPr>
              <w:t>—</w:t>
            </w:r>
          </w:p>
        </w:tc>
        <w:tc>
          <w:tcPr>
            <w:tcW w:type="dxa" w:w="1728"/>
          </w:tcPr>
          <w:p>
            <w:r>
              <w:rPr>
                <w:rFonts w:ascii="Calibri" w:hAnsi="Calibri"/>
                <w:sz w:val="22"/>
              </w:rPr>
              <w:t>N/A (long-term)</w:t>
            </w:r>
          </w:p>
        </w:tc>
        <w:tc>
          <w:tcPr>
            <w:tcW w:type="dxa" w:w="1728"/>
          </w:tcPr>
          <w:p>
            <w:r>
              <w:rPr>
                <w:rFonts w:ascii="Calibri" w:hAnsi="Calibri"/>
                <w:sz w:val="22"/>
              </w:rPr>
              <w:t>↑ Raised at May 21 Analyst Day; data center revenue target &gt;$9B by 2030</w:t>
            </w:r>
          </w:p>
        </w:tc>
      </w:tr>
    </w:tbl>
    <w:p>
      <w:r>
        <w:rPr>
          <w:rFonts w:ascii="Calibri" w:hAnsi="Calibri"/>
          <w:color w:val="525866"/>
          <w:sz w:val="22"/>
        </w:rPr>
        <w:t>Management tone has been consistently confident since Q1: CEO Jennifer Rumsey stated the company is "in a stronger position today" and "well positioned going forward" at the May 21 Analyst Day, while CFO Mark Smith highlighted "significant opportunities ahead" across businesses and regions. Notably, management explicitly guided that Power Systems margins for the remainder of 2026 would be "strong, but a little below first quarter levels" due to the uneven nature of tariff recoveries and one-time cost items in Q1 — this is the key sequential headwind to watch in Q2.</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spiked sharply in the first week after Q1 earnings (EPS +5.3% in 5 days) and have since drifted modestly lower, suggesting the street initially over-reacted to the guidance raise and has since recalibrated — current consensus sits slightly below the post-print peak, representing a mild cushion rather than a stretched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8, 2026 — 5 Days Post Q1)</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5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$7.39</w:t>
            </w:r>
          </w:p>
        </w:tc>
        <w:tc>
          <w:tcPr>
            <w:tcW w:type="dxa" w:w="1080"/>
          </w:tcPr>
          <w:p>
            <w:r>
              <w:rPr>
                <w:rFonts w:ascii="Calibri" w:hAnsi="Calibri"/>
                <w:sz w:val="22"/>
              </w:rPr>
              <w:t>$7.20</w:t>
            </w:r>
          </w:p>
        </w:tc>
        <w:tc>
          <w:tcPr>
            <w:tcW w:type="dxa" w:w="1080"/>
          </w:tcPr>
          <w:p>
            <w:r>
              <w:rPr>
                <w:rFonts w:ascii="Calibri" w:hAnsi="Calibri"/>
                <w:b/>
                <w:color w:val="E5484D"/>
                <w:sz w:val="22"/>
              </w:rPr>
              <w:t>-2.6%</w:t>
            </w:r>
          </w:p>
        </w:tc>
        <w:tc>
          <w:tcPr>
            <w:tcW w:type="dxa" w:w="1080"/>
          </w:tcPr>
          <w:p>
            <w:r>
              <w:rPr>
                <w:rFonts w:ascii="Calibri" w:hAnsi="Calibri"/>
                <w:sz w:val="22"/>
              </w:rPr>
              <w:t>No explicit Q2 EPS guide</w:t>
            </w:r>
          </w:p>
        </w:tc>
        <w:tc>
          <w:tcPr>
            <w:tcW w:type="dxa" w:w="1080"/>
          </w:tcPr>
          <w:p>
            <w:r>
              <w:rPr>
                <w:rFonts w:ascii="Calibri" w:hAnsi="Calibri"/>
                <w:sz w:val="22"/>
              </w:rPr>
              <w:t>No explicit Q2 EPS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$29.26</w:t>
            </w:r>
          </w:p>
        </w:tc>
        <w:tc>
          <w:tcPr>
            <w:tcW w:type="dxa" w:w="1080"/>
          </w:tcPr>
          <w:p>
            <w:r>
              <w:rPr>
                <w:rFonts w:ascii="Calibri" w:hAnsi="Calibri"/>
                <w:sz w:val="22"/>
              </w:rPr>
              <w:t>$29.46</w:t>
            </w:r>
          </w:p>
        </w:tc>
        <w:tc>
          <w:tcPr>
            <w:tcW w:type="dxa" w:w="1080"/>
          </w:tcPr>
          <w:p>
            <w:r>
              <w:rPr>
                <w:rFonts w:ascii="Calibri" w:hAnsi="Calibri"/>
                <w:b/>
                <w:color w:val="30A46C"/>
                <w:sz w:val="22"/>
              </w:rPr>
              <w:t>+0.7%</w:t>
            </w:r>
          </w:p>
        </w:tc>
        <w:tc>
          <w:tcPr>
            <w:tcW w:type="dxa" w:w="1080"/>
          </w:tcPr>
          <w:p>
            <w:r>
              <w:rPr>
                <w:rFonts w:ascii="Calibri" w:hAnsi="Calibri"/>
                <w:sz w:val="22"/>
              </w:rPr>
              <w:t>No explicit FY EPS guide</w:t>
            </w:r>
          </w:p>
        </w:tc>
        <w:tc>
          <w:tcPr>
            <w:tcW w:type="dxa" w:w="1080"/>
          </w:tcPr>
          <w:p>
            <w:r>
              <w:rPr>
                <w:rFonts w:ascii="Calibri" w:hAnsi="Calibri"/>
                <w:sz w:val="22"/>
              </w:rPr>
              <w:t>No explicit FY EPS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Power Systems Revenue — Q2 2026</w:t>
            </w:r>
          </w:p>
        </w:tc>
        <w:tc>
          <w:tcPr>
            <w:tcW w:type="dxa" w:w="1080"/>
          </w:tcPr>
          <w:p>
            <w:r>
              <w:rPr>
                <w:rFonts w:ascii="Calibri" w:hAnsi="Calibri"/>
                <w:sz w:val="22"/>
              </w:rPr>
              <w:t>$2.204B</w:t>
            </w:r>
          </w:p>
        </w:tc>
        <w:tc>
          <w:tcPr>
            <w:tcW w:type="dxa" w:w="1080"/>
          </w:tcPr>
          <w:p>
            <w:r>
              <w:rPr>
                <w:rFonts w:ascii="Calibri" w:hAnsi="Calibri"/>
                <w:sz w:val="22"/>
              </w:rPr>
              <w:t>$2.194B</w:t>
            </w:r>
          </w:p>
        </w:tc>
        <w:tc>
          <w:tcPr>
            <w:tcW w:type="dxa" w:w="1080"/>
          </w:tcPr>
          <w:p>
            <w:r>
              <w:rPr>
                <w:rFonts w:ascii="Calibri" w:hAnsi="Calibri"/>
                <w:b/>
                <w:color w:val="E5484D"/>
                <w:sz w:val="22"/>
              </w:rPr>
              <w:t>-0.5%</w:t>
            </w:r>
          </w:p>
        </w:tc>
        <w:tc>
          <w:tcPr>
            <w:tcW w:type="dxa" w:w="1080"/>
          </w:tcPr>
          <w:p>
            <w:r>
              <w:rPr>
                <w:rFonts w:ascii="Calibri" w:hAnsi="Calibri"/>
                <w:sz w:val="22"/>
              </w:rPr>
              <w:t>+14% to +19% YoY (FY)</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~+0.3% vs. FY midpoint</w:t>
            </w:r>
          </w:p>
        </w:tc>
      </w:tr>
      <w:tr>
        <w:tc>
          <w:tcPr>
            <w:tcW w:type="dxa" w:w="1080"/>
          </w:tcPr>
          <w:p>
            <w:r>
              <w:rPr>
                <w:rFonts w:ascii="Calibri" w:hAnsi="Calibri"/>
                <w:sz w:val="22"/>
              </w:rPr>
              <w:t>Power Systems Revenue — FY 2026</w:t>
            </w:r>
          </w:p>
        </w:tc>
        <w:tc>
          <w:tcPr>
            <w:tcW w:type="dxa" w:w="1080"/>
          </w:tcPr>
          <w:p>
            <w:r>
              <w:rPr>
                <w:rFonts w:ascii="Calibri" w:hAnsi="Calibri"/>
                <w:sz w:val="22"/>
              </w:rPr>
              <w:t>$8.730B</w:t>
            </w:r>
          </w:p>
        </w:tc>
        <w:tc>
          <w:tcPr>
            <w:tcW w:type="dxa" w:w="1080"/>
          </w:tcPr>
          <w:p>
            <w:r>
              <w:rPr>
                <w:rFonts w:ascii="Calibri" w:hAnsi="Calibri"/>
                <w:sz w:val="22"/>
              </w:rPr>
              <w:t>$8.752B</w:t>
            </w:r>
          </w:p>
        </w:tc>
        <w:tc>
          <w:tcPr>
            <w:tcW w:type="dxa" w:w="1080"/>
          </w:tcPr>
          <w:p>
            <w:r>
              <w:rPr>
                <w:rFonts w:ascii="Calibri" w:hAnsi="Calibri"/>
                <w:b/>
                <w:color w:val="30A46C"/>
                <w:sz w:val="22"/>
              </w:rPr>
              <w:t>+0.3%</w:t>
            </w:r>
          </w:p>
        </w:tc>
        <w:tc>
          <w:tcPr>
            <w:tcW w:type="dxa" w:w="1080"/>
          </w:tcPr>
          <w:p>
            <w:r>
              <w:rPr>
                <w:rFonts w:ascii="Calibri" w:hAnsi="Calibri"/>
                <w:sz w:val="22"/>
              </w:rPr>
              <w:t>+14% to +19% YoY (~$8.5B–$9.0B)</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~+0.3% vs. midpoint</w:t>
            </w:r>
          </w:p>
        </w:tc>
      </w:tr>
    </w:tbl>
    <w:p>
      <w:r>
        <w:rPr>
          <w:rFonts w:ascii="Calibri" w:hAnsi="Calibri"/>
          <w:color w:val="525866"/>
          <w:sz w:val="22"/>
        </w:rPr>
        <w:t>The revision trajectory tells a clear story: Q2 EPS estimates jumped from ~$6.47 pre-Q1 to $7.39 immediately post-Q1 (a +14% re-rate in one week), then drifted back to $7.20 as the street digested the Power Systems margin normalization caveat. FY 2026 EPS has been more stable, edging up slightly from $29.26 to $29.46, consistent with management’s raised full-year guidance. Power Systems revenue estimates have been essentially flat since the post-Q1 reset, suggesting consensus is comfortable with the +14%–19% FY guide. The mild downward drift in Q2 EPS from the post-print peak is a modest positive — the bar has come in slightly, reducing the risk of a consensus miss.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CMI has underperformed both XLI and the S&amp;P 500 since the Q1 print despite raised guidance — the stock is down ~3.9% vs. XLI +7.2% and SPY +5.5% since May 5 — driven by </w:t>
      </w:r>
      <w:r>
        <w:rPr>
          <w:rFonts w:ascii="Calibri" w:hAnsi="Calibri"/>
          <w:b/>
          <w:color w:val="525866"/>
          <w:sz w:val="22"/>
        </w:rPr>
        <w:t>multiple compression</w:t>
      </w:r>
      <w:r>
        <w:rPr>
          <w:rFonts w:ascii="Calibri" w:hAnsi="Calibri"/>
          <w:color w:val="525866"/>
          <w:sz w:val="22"/>
        </w:rPr>
        <w:t xml:space="preserve"> (NTM EV/EBITDA contracted from ~13.7x to ~12.5x over 1 month) rather than estimate cuts, suggesting sentiment-driven de-rating tied to AI data center skepticism and Caterpillar’s downgrade overhang.</w:t>
      </w:r>
    </w:p>
    <w:p>
      <w:r>
        <w:rPr>
          <w:rFonts w:ascii="Calibri" w:hAnsi="Calibri"/>
          <w:color w:val="525866"/>
          <w:sz w:val="22"/>
        </w:rPr>
        <w:t>Since the Q1 2026 earnings print on May 5, CMI has been a notable underperformer relative to its industrial peers. The stock opened at $656.73 on May 5 (prior close), surged to $715.76 on May 6 on the earnings beat and guidance raise, then gave back all gains and more — trading at $648.85 as of August 4, a net decline of ~3.9% from the pre-earnings close. By contrast, XLI (Industrial Select Sector SPDR ETF) gained +7.2% and the S&amp;P 500 gained +5.5% over the same period. The underperformance is concentrated in two episodes: (1) a sharp sell-off in mid-May following the Analyst Day on May 21 (stock fell from $716 to $639 in one week, possibly as investors sold the news after the long-term target raise), and (2) a second leg down in late July (stock fell from ~$665 to $606 on July 29) coinciding with Caterpillar’s downgrade by Baird citing AI data center pushback — a direct read-through risk for CMI’s Power Systems segment. The stock has since partially recovered to ~$649. Valuation has compressed: NTM EV/EBITDA contracted from ~13.7x (1 month ago) to ~12.5x today, while NTM P/E moved from ~21.5x to ~19.5x. The 12-month picture is still strongly positive (+76.5% price return, driven by both earnings growth and multiple expansion from ~10x to ~12.5x EV/EBITDA), but the near-term setup reflects a market that has grown more cautious on the durability of the data center demand narrative.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CMI Price Return</w:t>
            </w:r>
          </w:p>
        </w:tc>
        <w:tc>
          <w:tcPr>
            <w:tcW w:type="dxa" w:w="1728"/>
            <w:shd w:val="clear" w:color="auto" w:fill="3B4259"/>
          </w:tcPr>
          <w:p>
            <w:r>
              <w:rPr>
                <w:rFonts w:ascii="Calibri" w:hAnsi="Calibri"/>
                <w:b/>
                <w:color w:val="FFFFFF"/>
                <w:sz w:val="22"/>
              </w:rPr>
              <w:t>XLI Return</w:t>
            </w:r>
          </w:p>
        </w:tc>
        <w:tc>
          <w:tcPr>
            <w:tcW w:type="dxa" w:w="1728"/>
            <w:shd w:val="clear" w:color="auto" w:fill="3B4259"/>
          </w:tcPr>
          <w:p>
            <w:r>
              <w:rPr>
                <w:rFonts w:ascii="Calibri" w:hAnsi="Calibri"/>
                <w:b/>
                <w:color w:val="FFFFFF"/>
                <w:sz w:val="22"/>
              </w:rPr>
              <w:t>SPY Return</w:t>
            </w:r>
          </w:p>
        </w:tc>
        <w:tc>
          <w:tcPr>
            <w:tcW w:type="dxa" w:w="1728"/>
            <w:shd w:val="clear" w:color="auto" w:fill="3B4259"/>
          </w:tcPr>
          <w:p>
            <w:r>
              <w:rPr>
                <w:rFonts w:ascii="Calibri" w:hAnsi="Calibri"/>
                <w:b/>
                <w:color w:val="FFFFFF"/>
                <w:sz w:val="22"/>
              </w:rPr>
              <w:t>CMI vs. XLI (Relative)</w:t>
            </w:r>
          </w:p>
        </w:tc>
      </w:tr>
      <w:tr>
        <w:tc>
          <w:tcPr>
            <w:tcW w:type="dxa" w:w="1728"/>
          </w:tcPr>
          <w:p>
            <w:r>
              <w:rPr>
                <w:rFonts w:ascii="Calibri" w:hAnsi="Calibri"/>
                <w:sz w:val="22"/>
              </w:rPr>
              <w:t>Since Q1 Earnings (May 5 → Aug 4)</w:t>
            </w:r>
          </w:p>
        </w:tc>
        <w:tc>
          <w:tcPr>
            <w:tcW w:type="dxa" w:w="1728"/>
          </w:tcPr>
          <w:p>
            <w:r>
              <w:rPr>
                <w:rFonts w:ascii="Calibri" w:hAnsi="Calibri"/>
                <w:b/>
                <w:color w:val="E5484D"/>
                <w:sz w:val="22"/>
              </w:rPr>
              <w:t>-3.9%</w:t>
            </w:r>
          </w:p>
        </w:tc>
        <w:tc>
          <w:tcPr>
            <w:tcW w:type="dxa" w:w="1728"/>
          </w:tcPr>
          <w:p>
            <w:r>
              <w:rPr>
                <w:rFonts w:ascii="Calibri" w:hAnsi="Calibri"/>
                <w:sz w:val="22"/>
              </w:rPr>
              <w:t>+7.2%</w:t>
            </w:r>
          </w:p>
        </w:tc>
        <w:tc>
          <w:tcPr>
            <w:tcW w:type="dxa" w:w="1728"/>
          </w:tcPr>
          <w:p>
            <w:r>
              <w:rPr>
                <w:rFonts w:ascii="Calibri" w:hAnsi="Calibri"/>
                <w:sz w:val="22"/>
              </w:rPr>
              <w:t>+5.5%</w:t>
            </w:r>
          </w:p>
        </w:tc>
        <w:tc>
          <w:tcPr>
            <w:tcW w:type="dxa" w:w="1728"/>
          </w:tcPr>
          <w:p>
            <w:r>
              <w:rPr>
                <w:rFonts w:ascii="Calibri" w:hAnsi="Calibri"/>
                <w:b/>
                <w:color w:val="E5484D"/>
                <w:sz w:val="22"/>
              </w:rPr>
              <w:t>-11.1%</w:t>
            </w:r>
          </w:p>
        </w:tc>
      </w:tr>
      <w:tr>
        <w:tc>
          <w:tcPr>
            <w:tcW w:type="dxa" w:w="1728"/>
          </w:tcPr>
          <w:p>
            <w:r>
              <w:rPr>
                <w:rFonts w:ascii="Calibri" w:hAnsi="Calibri"/>
                <w:sz w:val="22"/>
              </w:rPr>
              <w:t>1 Month</w:t>
            </w:r>
          </w:p>
        </w:tc>
        <w:tc>
          <w:tcPr>
            <w:tcW w:type="dxa" w:w="1728"/>
          </w:tcPr>
          <w:p>
            <w:r>
              <w:rPr>
                <w:rFonts w:ascii="Calibri" w:hAnsi="Calibri"/>
                <w:sz w:val="22"/>
              </w:rPr>
              <w:t>-1.9%</w:t>
            </w:r>
          </w:p>
        </w:tc>
        <w:tc>
          <w:tcPr>
            <w:tcW w:type="dxa" w:w="1728"/>
          </w:tcPr>
          <w:p>
            <w:r>
              <w:rPr>
                <w:rFonts w:ascii="Calibri" w:hAnsi="Calibri"/>
                <w:sz w:val="22"/>
              </w:rPr>
              <w:t>~+3.7%</w:t>
            </w:r>
          </w:p>
        </w:tc>
        <w:tc>
          <w:tcPr>
            <w:tcW w:type="dxa" w:w="1728"/>
          </w:tcPr>
          <w:p>
            <w:r>
              <w:rPr>
                <w:rFonts w:ascii="Calibri" w:hAnsi="Calibri"/>
                <w:sz w:val="22"/>
              </w:rPr>
              <w:t>~+3.8%</w:t>
            </w:r>
          </w:p>
        </w:tc>
        <w:tc>
          <w:tcPr>
            <w:tcW w:type="dxa" w:w="1728"/>
          </w:tcPr>
          <w:p>
            <w:r>
              <w:rPr>
                <w:rFonts w:ascii="Calibri" w:hAnsi="Calibri"/>
                <w:b/>
                <w:color w:val="E5484D"/>
                <w:sz w:val="22"/>
              </w:rPr>
              <w:t>-5.6%</w:t>
            </w:r>
          </w:p>
        </w:tc>
      </w:tr>
      <w:tr>
        <w:tc>
          <w:tcPr>
            <w:tcW w:type="dxa" w:w="1728"/>
          </w:tcPr>
          <w:p>
            <w:r>
              <w:rPr>
                <w:rFonts w:ascii="Calibri" w:hAnsi="Calibri"/>
                <w:sz w:val="22"/>
              </w:rPr>
              <w:t>3 Month</w:t>
            </w:r>
          </w:p>
        </w:tc>
        <w:tc>
          <w:tcPr>
            <w:tcW w:type="dxa" w:w="1728"/>
          </w:tcPr>
          <w:p>
            <w:r>
              <w:rPr>
                <w:rFonts w:ascii="Calibri" w:hAnsi="Calibri"/>
                <w:sz w:val="22"/>
              </w:rPr>
              <w:t>-1.3%</w:t>
            </w:r>
          </w:p>
        </w:tc>
        <w:tc>
          <w:tcPr>
            <w:tcW w:type="dxa" w:w="1728"/>
          </w:tcPr>
          <w:p>
            <w:r>
              <w:rPr>
                <w:rFonts w:ascii="Calibri" w:hAnsi="Calibri"/>
                <w:sz w:val="22"/>
              </w:rPr>
              <w:t>~+5.0%</w:t>
            </w:r>
          </w:p>
        </w:tc>
        <w:tc>
          <w:tcPr>
            <w:tcW w:type="dxa" w:w="1728"/>
          </w:tcPr>
          <w:p>
            <w:r>
              <w:rPr>
                <w:rFonts w:ascii="Calibri" w:hAnsi="Calibri"/>
                <w:sz w:val="22"/>
              </w:rPr>
              <w:t>~+4.5%</w:t>
            </w:r>
          </w:p>
        </w:tc>
        <w:tc>
          <w:tcPr>
            <w:tcW w:type="dxa" w:w="1728"/>
          </w:tcPr>
          <w:p>
            <w:r>
              <w:rPr>
                <w:rFonts w:ascii="Calibri" w:hAnsi="Calibri"/>
                <w:b/>
                <w:color w:val="E5484D"/>
                <w:sz w:val="22"/>
              </w:rPr>
              <w:t>-6.3%</w:t>
            </w:r>
          </w:p>
        </w:tc>
      </w:tr>
      <w:tr>
        <w:tc>
          <w:tcPr>
            <w:tcW w:type="dxa" w:w="1728"/>
          </w:tcPr>
          <w:p>
            <w:r>
              <w:rPr>
                <w:rFonts w:ascii="Calibri" w:hAnsi="Calibri"/>
                <w:sz w:val="22"/>
              </w:rPr>
              <w:t>12 Month</w:t>
            </w:r>
          </w:p>
        </w:tc>
        <w:tc>
          <w:tcPr>
            <w:tcW w:type="dxa" w:w="1728"/>
          </w:tcPr>
          <w:p>
            <w:r>
              <w:rPr>
                <w:rFonts w:ascii="Calibri" w:hAnsi="Calibri"/>
                <w:b/>
                <w:color w:val="30A46C"/>
                <w:sz w:val="22"/>
              </w:rPr>
              <w:t>+76.5%</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Key Events Since May 5, 2026:</w:t>
      </w:r>
    </w:p>
    <w:p>
      <w:pPr>
        <w:pStyle w:val="ListBullet"/>
        <w:ind w:left="360" w:hanging="360"/>
      </w:pPr>
      <w:r>
        <w:rPr>
          <w:rFonts w:ascii="Calibri" w:hAnsi="Calibri"/>
          <w:b/>
          <w:color w:val="525866"/>
          <w:sz w:val="22"/>
        </w:rPr>
        <w:t>May 5, 2026:</w:t>
      </w:r>
      <w:r>
        <w:rPr>
          <w:rFonts w:ascii="Calibri" w:hAnsi="Calibri"/>
          <w:color w:val="525866"/>
          <w:sz w:val="22"/>
        </w:rPr>
        <w:t xml:space="preserve"> Q1 2026 earnings beat — stock surged from $656.73 to $715.76 (+9.0%) on the day following the print.</w:t>
      </w:r>
    </w:p>
    <w:p>
      <w:pPr>
        <w:pStyle w:val="ListBullet"/>
        <w:ind w:left="360" w:hanging="360"/>
      </w:pPr>
      <w:r>
        <w:rPr>
          <w:rFonts w:ascii="Calibri" w:hAnsi="Calibri"/>
          <w:b/>
          <w:color w:val="525866"/>
          <w:sz w:val="22"/>
        </w:rPr>
        <w:t>May 21, 2026:</w:t>
      </w:r>
      <w:r>
        <w:rPr>
          <w:rFonts w:ascii="Calibri" w:hAnsi="Calibri"/>
          <w:color w:val="525866"/>
          <w:sz w:val="22"/>
        </w:rPr>
        <w:t xml:space="preserve"> Analyst Day — 2030 targets raised (revenue $45B–$50B, EBITDA &gt;20%); stock sold off from $716 to $639 over the following week, likely a "sell the news" reaction.</w:t>
      </w:r>
    </w:p>
    <w:p>
      <w:pPr>
        <w:pStyle w:val="ListBullet"/>
        <w:ind w:left="360" w:hanging="360"/>
      </w:pPr>
      <w:r>
        <w:rPr>
          <w:rFonts w:ascii="Calibri" w:hAnsi="Calibri"/>
          <w:b/>
          <w:color w:val="525866"/>
          <w:sz w:val="22"/>
        </w:rPr>
        <w:t>July 29, 2026:</w:t>
      </w:r>
      <w:r>
        <w:rPr>
          <w:rFonts w:ascii="Calibri" w:hAnsi="Calibri"/>
          <w:color w:val="525866"/>
          <w:sz w:val="22"/>
        </w:rPr>
        <w:t xml:space="preserve"> Caterpillar downgraded by Baird citing AI data center pushback and NY moratorium on data center construction — CMI fell sharply from ~$665 to $606 (-8.9%) as a direct read-through to Power Systems.</w:t>
      </w:r>
    </w:p>
    <w:p>
      <w:pPr>
        <w:pStyle w:val="ListBullet"/>
        <w:ind w:left="360" w:hanging="360"/>
      </w:pPr>
      <w:r>
        <w:rPr>
          <w:rFonts w:ascii="Calibri" w:hAnsi="Calibri"/>
          <w:b/>
          <w:color w:val="525866"/>
          <w:sz w:val="22"/>
        </w:rPr>
        <w:t>Aug 3–4, 2026:</w:t>
      </w:r>
      <w:r>
        <w:rPr>
          <w:rFonts w:ascii="Calibri" w:hAnsi="Calibri"/>
          <w:color w:val="525866"/>
          <w:sz w:val="22"/>
        </w:rPr>
        <w:t xml:space="preserve"> Partial recovery to ~$649 ahead of Q2 earnings; Caterpillar also reporting Q2 today.</w:t>
      </w:r>
    </w:p>
    <w:p>
      <w:r>
        <w:rPr>
          <w:rFonts w:ascii="Calibri" w:hAnsi="Calibri"/>
          <w:b/>
          <w:color w:val="525866"/>
          <w:sz w:val="22"/>
        </w:rPr>
        <w:t>Valuation Context:</w:t>
      </w:r>
      <w:r>
        <w:rPr>
          <w:rFonts w:ascii="Calibri" w:hAnsi="Calibri"/>
          <w:color w:val="525866"/>
          <w:sz w:val="22"/>
        </w:rPr>
        <w:t xml:space="preserve"> NTM EV/EBITDA of 12.5x is below the 1-month average of ~13.7x and the 3-month average of ~14.7x, suggesting the stock has de-rated meaningfully. The 12-month EPS-driven re-rating (+24.7% multiple expansion from 10.0x to 12.5x) has partially reversed in recent months. At current levels, the stock is pricing in a more cautious view on Power Systems margin sustainability.</w:t>
      </w:r>
    </w:p>
    <w:p>
      <w:r>
        <w:rPr>
          <w:rFonts w:ascii="Calibri" w:hAnsi="Calibri"/>
          <w:i/>
          <w:color w:val="525866"/>
          <w:sz w:val="22"/>
        </w:rPr>
        <w:t>Source: Stock Price Data (Yahoo Finance); Stock Performance Decomposition Data</w:t>
      </w:r>
    </w:p>
    <w:p>
      <w:r>
        <w:br w:type="page"/>
      </w:r>
    </w:p>
    <w:p>
      <w:pPr>
        <w:pStyle w:val="Heading2"/>
      </w:pPr>
      <w:r>
        <w:rPr>
          <w:rFonts w:ascii="Calibri" w:hAnsi="Calibri"/>
          <w:b/>
          <w:color w:val="3B4259"/>
          <w:sz w:val="28"/>
        </w:rPr>
        <w:t>6. Peer Commentary &amp; Current-Quarter Read-Throughs</w:t>
      </w:r>
    </w:p>
    <w:p>
      <w:r>
        <w:rPr>
          <w:rFonts w:ascii="Calibri" w:hAnsi="Calibri"/>
          <w:b/>
          <w:color w:val="525866"/>
          <w:sz w:val="22"/>
        </w:rPr>
        <w:t xml:space="preserve">Key Takeaway: </w:t>
      </w:r>
      <w:r>
        <w:rPr>
          <w:rFonts w:ascii="Calibri" w:hAnsi="Calibri"/>
          <w:color w:val="525866"/>
          <w:sz w:val="22"/>
        </w:rPr>
        <w:t>PCAR’s Q2 2026 earnings call is the most important read-through for CMI — it confirms the NA heavy-duty truck market is tracking the upper end of CMI’s 230,000–250,000 unit guide, EPA NOx clarification is a net positive for CMI’s engine launch timeline, and supplier constraints are emerging (a mixed signal). Eaton’s Q2 results confirm data center demand remains robust and accelerating, directly supporting CMI’s Power Systems outlook. AGCO’s commentary is a modest negative for CMI’s agricultural engine exposure but is not a primary driver.</w:t>
      </w:r>
    </w:p>
    <w:p>
      <w:r>
        <w:rPr>
          <w:rFonts w:ascii="Calibri" w:hAnsi="Calibri"/>
          <w:b/>
          <w:color w:val="525866"/>
          <w:sz w:val="22"/>
        </w:rPr>
        <w:t xml:space="preserve">Note on Scope: </w:t>
      </w:r>
      <w:r>
        <w:rPr>
          <w:rFonts w:ascii="Calibri" w:hAnsi="Calibri"/>
          <w:i/>
          <w:color w:val="525866"/>
          <w:sz w:val="22"/>
        </w:rPr>
        <w:t>Only commentary from Q2 2026 earnings calls and post-Q1 2026 conferences is included below. Prior-quarter results commentary (e.g., PCAR Q1 2026 results discussion) has been excluded. All read-throughs are sourced from transcripts dated after May 5, 2026.</w:t>
      </w:r>
    </w:p>
    <w:p>
      <w:pPr>
        <w:pStyle w:val="Heading3"/>
      </w:pPr>
      <w:r>
        <w:rPr>
          <w:rFonts w:ascii="Calibri" w:hAnsi="Calibri"/>
          <w:b/>
          <w:color w:val="3B4259"/>
          <w:sz w:val="24"/>
        </w:rPr>
        <w:t>PACCAR (PCAR) — Q2 2026 Earnings Call (July 28, 2026)</w:t>
      </w:r>
    </w:p>
    <w:p>
      <w:r>
        <w:rPr>
          <w:rFonts w:ascii="Calibri" w:hAnsi="Calibri"/>
          <w:b/>
          <w:color w:val="525866"/>
          <w:sz w:val="22"/>
        </w:rPr>
        <w:t xml:space="preserve">Relevance to CMI: </w:t>
      </w:r>
      <w:r>
        <w:rPr>
          <w:rFonts w:ascii="Calibri" w:hAnsi="Calibri"/>
          <w:color w:val="525866"/>
          <w:sz w:val="22"/>
        </w:rPr>
        <w:t>PCAR is CMI’s largest single engine customer for North American heavy-duty trucks. PCAR’s Q2 commentary is the most direct read-through available for CMI’s Engine segment.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PCAR Commentary (Q2 2026 Earnings Call, July 28, 2026)</w:t>
            </w:r>
          </w:p>
        </w:tc>
        <w:tc>
          <w:tcPr>
            <w:tcW w:type="dxa" w:w="2160"/>
            <w:shd w:val="clear" w:color="auto" w:fill="3B4259"/>
          </w:tcPr>
          <w:p>
            <w:r>
              <w:rPr>
                <w:rFonts w:ascii="Calibri" w:hAnsi="Calibri"/>
                <w:b/>
                <w:color w:val="FFFFFF"/>
                <w:sz w:val="22"/>
              </w:rPr>
              <w:t>CMI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NA Truck Market Size</w:t>
            </w:r>
          </w:p>
        </w:tc>
        <w:tc>
          <w:tcPr>
            <w:tcW w:type="dxa" w:w="2160"/>
          </w:tcPr>
          <w:p>
            <w:r>
              <w:rPr>
                <w:rFonts w:ascii="Calibri" w:hAnsi="Calibri"/>
                <w:sz w:val="22"/>
              </w:rPr>
              <w:t>Full-year US/Canada heavy truck market expected ~250,000 units; H1 was 105,000 units, H2 expected ~145,000 units — a significant back-half acceleration.</w:t>
            </w:r>
          </w:p>
        </w:tc>
        <w:tc>
          <w:tcPr>
            <w:tcW w:type="dxa" w:w="2160"/>
          </w:tcPr>
          <w:p>
            <w:r>
              <w:rPr>
                <w:rFonts w:ascii="Calibri" w:hAnsi="Calibri"/>
                <w:sz w:val="22"/>
              </w:rPr>
              <w:t>Confirms upper end of CMI’s 230,000–250,000 unit guide; H2 ramp supports CMI’s guided step-up in Engine segment revenue in Q3.</w:t>
            </w:r>
          </w:p>
        </w:tc>
        <w:tc>
          <w:tcPr>
            <w:tcW w:type="dxa" w:w="2160"/>
          </w:tcPr>
          <w:p>
            <w:r>
              <w:rPr>
                <w:rFonts w:ascii="Calibri" w:hAnsi="Calibri"/>
                <w:b/>
                <w:color w:val="30A46C"/>
                <w:sz w:val="22"/>
              </w:rPr>
              <w:t>✅ Positive</w:t>
            </w:r>
          </w:p>
        </w:tc>
      </w:tr>
      <w:tr>
        <w:tc>
          <w:tcPr>
            <w:tcW w:type="dxa" w:w="2160"/>
          </w:tcPr>
          <w:p>
            <w:r>
              <w:rPr>
                <w:rFonts w:ascii="Calibri" w:hAnsi="Calibri"/>
                <w:sz w:val="22"/>
              </w:rPr>
              <w:t>Order Book &amp; Build Slots</w:t>
            </w:r>
          </w:p>
        </w:tc>
        <w:tc>
          <w:tcPr>
            <w:tcW w:type="dxa" w:w="2160"/>
          </w:tcPr>
          <w:p>
            <w:r>
              <w:rPr>
                <w:rFonts w:ascii="Calibri" w:hAnsi="Calibri"/>
                <w:sz w:val="22"/>
              </w:rPr>
              <w:t>"Certainly full to Q3, mostly full for the year, probably ~90% full." Expects to "sell out of build slots probably in the next month or two." Carry-over into 2027 expected.</w:t>
            </w:r>
          </w:p>
        </w:tc>
        <w:tc>
          <w:tcPr>
            <w:tcW w:type="dxa" w:w="2160"/>
          </w:tcPr>
          <w:p>
            <w:r>
              <w:rPr>
                <w:rFonts w:ascii="Calibri" w:hAnsi="Calibri"/>
                <w:sz w:val="22"/>
              </w:rPr>
              <w:t>Strong order book means sustained engine demand for CMI through H2 2026 and into early 2027; pre-buy dynamics building.</w:t>
            </w:r>
          </w:p>
        </w:tc>
        <w:tc>
          <w:tcPr>
            <w:tcW w:type="dxa" w:w="2160"/>
          </w:tcPr>
          <w:p>
            <w:r>
              <w:rPr>
                <w:rFonts w:ascii="Calibri" w:hAnsi="Calibri"/>
                <w:b/>
                <w:color w:val="30A46C"/>
                <w:sz w:val="22"/>
              </w:rPr>
              <w:t>✅ Positive</w:t>
            </w:r>
          </w:p>
        </w:tc>
      </w:tr>
      <w:tr>
        <w:tc>
          <w:tcPr>
            <w:tcW w:type="dxa" w:w="2160"/>
          </w:tcPr>
          <w:p>
            <w:r>
              <w:rPr>
                <w:rFonts w:ascii="Calibri" w:hAnsi="Calibri"/>
                <w:sz w:val="22"/>
              </w:rPr>
              <w:t>Production Ramp</w:t>
            </w:r>
          </w:p>
        </w:tc>
        <w:tc>
          <w:tcPr>
            <w:tcW w:type="dxa" w:w="2160"/>
          </w:tcPr>
          <w:p>
            <w:r>
              <w:rPr>
                <w:rFonts w:ascii="Calibri" w:hAnsi="Calibri"/>
                <w:sz w:val="22"/>
              </w:rPr>
              <w:t>Q3 deliveries estimated to grow to ~42,000 (from 38,700 in Q2), "continuing to increase build rates in our factories around the world."</w:t>
            </w:r>
          </w:p>
        </w:tc>
        <w:tc>
          <w:tcPr>
            <w:tcW w:type="dxa" w:w="2160"/>
          </w:tcPr>
          <w:p>
            <w:r>
              <w:rPr>
                <w:rFonts w:ascii="Calibri" w:hAnsi="Calibri"/>
                <w:sz w:val="22"/>
              </w:rPr>
              <w:t>Higher truck production = higher CMI engine demand; CMI guided production ramp from 250 to 400 engines/day by end of June, consistent with PCAR’s ramp.</w:t>
            </w:r>
          </w:p>
        </w:tc>
        <w:tc>
          <w:tcPr>
            <w:tcW w:type="dxa" w:w="2160"/>
          </w:tcPr>
          <w:p>
            <w:r>
              <w:rPr>
                <w:rFonts w:ascii="Calibri" w:hAnsi="Calibri"/>
                <w:b/>
                <w:color w:val="30A46C"/>
                <w:sz w:val="22"/>
              </w:rPr>
              <w:t>✅ Positive</w:t>
            </w:r>
          </w:p>
        </w:tc>
      </w:tr>
      <w:tr>
        <w:tc>
          <w:tcPr>
            <w:tcW w:type="dxa" w:w="2160"/>
          </w:tcPr>
          <w:p>
            <w:r>
              <w:rPr>
                <w:rFonts w:ascii="Calibri" w:hAnsi="Calibri"/>
                <w:sz w:val="22"/>
              </w:rPr>
              <w:t>Supplier Constraints</w:t>
            </w:r>
          </w:p>
        </w:tc>
        <w:tc>
          <w:tcPr>
            <w:tcW w:type="dxa" w:w="2160"/>
          </w:tcPr>
          <w:p>
            <w:r>
              <w:rPr>
                <w:rFonts w:ascii="Calibri" w:hAnsi="Calibri"/>
                <w:sz w:val="22"/>
              </w:rPr>
              <w:t>"Some supplier constraints that we’re starting to experience as the market ramps up" — affected a few hundred US deliveries in Q2.</w:t>
            </w:r>
          </w:p>
        </w:tc>
        <w:tc>
          <w:tcPr>
            <w:tcW w:type="dxa" w:w="2160"/>
          </w:tcPr>
          <w:p>
            <w:r>
              <w:rPr>
                <w:rFonts w:ascii="Calibri" w:hAnsi="Calibri"/>
                <w:sz w:val="22"/>
              </w:rPr>
              <w:t>Mixed: indicates strong demand but CMI could face supply chain pressure as a key supplier; management flagged this risk on Q1 call.</w:t>
            </w:r>
          </w:p>
        </w:tc>
        <w:tc>
          <w:tcPr>
            <w:tcW w:type="dxa" w:w="2160"/>
          </w:tcPr>
          <w:p>
            <w:r>
              <w:rPr>
                <w:rFonts w:ascii="Calibri" w:hAnsi="Calibri"/>
                <w:b/>
                <w:color w:val="002FA7"/>
                <w:sz w:val="22"/>
              </w:rPr>
              <w:t>⚠️ Mixed</w:t>
            </w:r>
          </w:p>
        </w:tc>
      </w:tr>
      <w:tr>
        <w:tc>
          <w:tcPr>
            <w:tcW w:type="dxa" w:w="2160"/>
          </w:tcPr>
          <w:p>
            <w:r>
              <w:rPr>
                <w:rFonts w:ascii="Calibri" w:hAnsi="Calibri"/>
                <w:sz w:val="22"/>
              </w:rPr>
              <w:t>Customer Operating Conditions</w:t>
            </w:r>
          </w:p>
        </w:tc>
        <w:tc>
          <w:tcPr>
            <w:tcW w:type="dxa" w:w="2160"/>
          </w:tcPr>
          <w:p>
            <w:r>
              <w:rPr>
                <w:rFonts w:ascii="Calibri" w:hAnsi="Calibri"/>
                <w:sz w:val="22"/>
              </w:rPr>
              <w:t>Spot rates up 20%, contract rates up 6.5%; driver pool more constrained; fleets "increasing their demand in the months we’re in now and looking forward."</w:t>
            </w:r>
          </w:p>
        </w:tc>
        <w:tc>
          <w:tcPr>
            <w:tcW w:type="dxa" w:w="2160"/>
          </w:tcPr>
          <w:p>
            <w:r>
              <w:rPr>
                <w:rFonts w:ascii="Calibri" w:hAnsi="Calibri"/>
                <w:sz w:val="22"/>
              </w:rPr>
              <w:t>Improved fleet profitability drives capital spending on new trucks; positive for CMI engine volumes and aftermarket parts.</w:t>
            </w:r>
          </w:p>
        </w:tc>
        <w:tc>
          <w:tcPr>
            <w:tcW w:type="dxa" w:w="2160"/>
          </w:tcPr>
          <w:p>
            <w:r>
              <w:rPr>
                <w:rFonts w:ascii="Calibri" w:hAnsi="Calibri"/>
                <w:b/>
                <w:color w:val="30A46C"/>
                <w:sz w:val="22"/>
              </w:rPr>
              <w:t>✅ Positive</w:t>
            </w:r>
          </w:p>
        </w:tc>
      </w:tr>
      <w:tr>
        <w:tc>
          <w:tcPr>
            <w:tcW w:type="dxa" w:w="2160"/>
          </w:tcPr>
          <w:p>
            <w:r>
              <w:rPr>
                <w:rFonts w:ascii="Calibri" w:hAnsi="Calibri"/>
                <w:sz w:val="22"/>
              </w:rPr>
              <w:t>Truck Margins</w:t>
            </w:r>
          </w:p>
        </w:tc>
        <w:tc>
          <w:tcPr>
            <w:tcW w:type="dxa" w:w="2160"/>
          </w:tcPr>
          <w:p>
            <w:r>
              <w:rPr>
                <w:rFonts w:ascii="Calibri" w:hAnsi="Calibri"/>
                <w:sz w:val="22"/>
              </w:rPr>
              <w:t>Truck gross margins improved from 13.1% to 14.4% in Q2; Q3 guided at 14.5%, further increase in Q4. Driven by volume, local-for-local production (tariff benefit), cost controls, and favorable price-cost.</w:t>
            </w:r>
          </w:p>
        </w:tc>
        <w:tc>
          <w:tcPr>
            <w:tcW w:type="dxa" w:w="2160"/>
          </w:tcPr>
          <w:p>
            <w:r>
              <w:rPr>
                <w:rFonts w:ascii="Calibri" w:hAnsi="Calibri"/>
                <w:sz w:val="22"/>
              </w:rPr>
              <w:t>Healthy OEM margins suggest pricing power for suppliers like CMI; stable industry environment supports CMI’s tariff recovery assumptions.</w:t>
            </w:r>
          </w:p>
        </w:tc>
        <w:tc>
          <w:tcPr>
            <w:tcW w:type="dxa" w:w="2160"/>
          </w:tcPr>
          <w:p>
            <w:r>
              <w:rPr>
                <w:rFonts w:ascii="Calibri" w:hAnsi="Calibri"/>
                <w:b/>
                <w:color w:val="30A46C"/>
                <w:sz w:val="22"/>
              </w:rPr>
              <w:t>✅ Positive</w:t>
            </w:r>
          </w:p>
        </w:tc>
      </w:tr>
      <w:tr>
        <w:tc>
          <w:tcPr>
            <w:tcW w:type="dxa" w:w="2160"/>
          </w:tcPr>
          <w:p>
            <w:r>
              <w:rPr>
                <w:rFonts w:ascii="Calibri" w:hAnsi="Calibri"/>
                <w:sz w:val="22"/>
              </w:rPr>
              <w:t>Tariffs (Section 232)</w:t>
            </w:r>
          </w:p>
        </w:tc>
        <w:tc>
          <w:tcPr>
            <w:tcW w:type="dxa" w:w="2160"/>
          </w:tcPr>
          <w:p>
            <w:r>
              <w:rPr>
                <w:rFonts w:ascii="Calibri" w:hAnsi="Calibri"/>
                <w:sz w:val="22"/>
              </w:rPr>
              <w:t>"The 232 is durable. There doesn’t seem to be any real challenge to that." PCAR had a net tariff benefit in Q2; expects similar position in Q3.</w:t>
            </w:r>
          </w:p>
        </w:tc>
        <w:tc>
          <w:tcPr>
            <w:tcW w:type="dxa" w:w="2160"/>
          </w:tcPr>
          <w:p>
            <w:r>
              <w:rPr>
                <w:rFonts w:ascii="Calibri" w:hAnsi="Calibri"/>
                <w:sz w:val="22"/>
              </w:rPr>
              <w:t>Corroborates CMI’s guidance that net tariff impact will remain immaterial for FY 2026; Section 232 engine offset program assumptions appear sound.</w:t>
            </w:r>
          </w:p>
        </w:tc>
        <w:tc>
          <w:tcPr>
            <w:tcW w:type="dxa" w:w="2160"/>
          </w:tcPr>
          <w:p>
            <w:r>
              <w:rPr>
                <w:rFonts w:ascii="Calibri" w:hAnsi="Calibri"/>
                <w:b/>
                <w:color w:val="30A46C"/>
                <w:sz w:val="22"/>
              </w:rPr>
              <w:t>✅ Positive</w:t>
            </w:r>
          </w:p>
        </w:tc>
      </w:tr>
      <w:tr>
        <w:tc>
          <w:tcPr>
            <w:tcW w:type="dxa" w:w="2160"/>
          </w:tcPr>
          <w:p>
            <w:r>
              <w:rPr>
                <w:rFonts w:ascii="Calibri" w:hAnsi="Calibri"/>
                <w:sz w:val="22"/>
              </w:rPr>
              <w:t>EPA NOx Clarification (Critical for CMI)</w:t>
            </w:r>
          </w:p>
        </w:tc>
        <w:tc>
          <w:tcPr>
            <w:tcW w:type="dxa" w:w="2160"/>
          </w:tcPr>
          <w:p>
            <w:r>
              <w:rPr>
                <w:rFonts w:ascii="Calibri" w:hAnsi="Calibri"/>
                <w:sz w:val="22"/>
              </w:rPr>
              <w:t>EPA clarified NOx regulation, extending timeline for 35mg NOx engines. NCFs proposed at $6,000–$7,000/truck (below cost of fully compliant engines). PCAR plans to sell current products including "our partners engines. Cummins." Expects clarification to have "positive impact on the size and strength of next year’s truck market."</w:t>
            </w:r>
          </w:p>
        </w:tc>
        <w:tc>
          <w:tcPr>
            <w:tcW w:type="dxa" w:w="2160"/>
          </w:tcPr>
          <w:p>
            <w:r>
              <w:rPr>
                <w:rFonts w:ascii="Calibri" w:hAnsi="Calibri"/>
                <w:sz w:val="22"/>
              </w:rPr>
              <w:t>Directly positive for CMI: more time to validate HELM platforms; current B-series engines can be sold through 2027 with NCFs; 2027 market expected to be stronger. Reduces risk of a disruptive product transition.</w:t>
            </w:r>
          </w:p>
        </w:tc>
        <w:tc>
          <w:tcPr>
            <w:tcW w:type="dxa" w:w="2160"/>
          </w:tcPr>
          <w:p>
            <w:r>
              <w:rPr>
                <w:rFonts w:ascii="Calibri" w:hAnsi="Calibri"/>
                <w:b/>
                <w:color w:val="30A46C"/>
                <w:sz w:val="22"/>
              </w:rPr>
              <w:t>✅ Strongly Positive</w:t>
            </w:r>
          </w:p>
        </w:tc>
      </w:tr>
      <w:tr>
        <w:tc>
          <w:tcPr>
            <w:tcW w:type="dxa" w:w="2160"/>
          </w:tcPr>
          <w:p>
            <w:r>
              <w:rPr>
                <w:rFonts w:ascii="Calibri" w:hAnsi="Calibri"/>
                <w:sz w:val="22"/>
              </w:rPr>
              <w:t>Parts &amp; Aftermarket</w:t>
            </w:r>
          </w:p>
        </w:tc>
        <w:tc>
          <w:tcPr>
            <w:tcW w:type="dxa" w:w="2160"/>
          </w:tcPr>
          <w:p>
            <w:r>
              <w:rPr>
                <w:rFonts w:ascii="Calibri" w:hAnsi="Calibri"/>
                <w:sz w:val="22"/>
              </w:rPr>
              <w:t>Parts Fleet Services revenue grew 8% in Q2; full-year parts sales growth guided 3%–5%, "towards the high side." Increasing truck utilization driving more parts activity.</w:t>
            </w:r>
          </w:p>
        </w:tc>
        <w:tc>
          <w:tcPr>
            <w:tcW w:type="dxa" w:w="2160"/>
          </w:tcPr>
          <w:p>
            <w:r>
              <w:rPr>
                <w:rFonts w:ascii="Calibri" w:hAnsi="Calibri"/>
                <w:sz w:val="22"/>
              </w:rPr>
              <w:t>Positive for CMI’s aftermarket/Distribution segment; aging fleets and higher utilization support CMI’s 2%–8% aftermarket growth guide.</w:t>
            </w:r>
          </w:p>
        </w:tc>
        <w:tc>
          <w:tcPr>
            <w:tcW w:type="dxa" w:w="2160"/>
          </w:tcPr>
          <w:p>
            <w:r>
              <w:rPr>
                <w:rFonts w:ascii="Calibri" w:hAnsi="Calibri"/>
                <w:b/>
                <w:color w:val="30A46C"/>
                <w:sz w:val="22"/>
              </w:rPr>
              <w:t>✅ Positive</w:t>
            </w:r>
          </w:p>
        </w:tc>
      </w:tr>
    </w:tbl>
    <w:p>
      <w:pPr>
        <w:pStyle w:val="Heading3"/>
      </w:pPr>
      <w:r>
        <w:rPr>
          <w:rFonts w:ascii="Calibri" w:hAnsi="Calibri"/>
          <w:b/>
          <w:color w:val="3B4259"/>
          <w:sz w:val="24"/>
        </w:rPr>
        <w:t>Eaton (ETN) — Q2 2026 Earnings Call (July 31, 2026)</w:t>
      </w:r>
    </w:p>
    <w:p>
      <w:r>
        <w:rPr>
          <w:rFonts w:ascii="Calibri" w:hAnsi="Calibri"/>
          <w:b/>
          <w:color w:val="525866"/>
          <w:sz w:val="22"/>
        </w:rPr>
        <w:t xml:space="preserve">Relevance to CMI: </w:t>
      </w:r>
      <w:r>
        <w:rPr>
          <w:rFonts w:ascii="Calibri" w:hAnsi="Calibri"/>
          <w:color w:val="525866"/>
          <w:sz w:val="22"/>
        </w:rPr>
        <w:t>Eaton is the most direct peer for CMI’s Power Systems segment (data center backup power, power generation). ETN’s Q2 results provide the most current read on data center demand trends, capacity constraints, and pricing dynamics in the power equipment market.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ETN Commentary (Q2 2026 Earnings Call, July 31, 2026)</w:t>
            </w:r>
          </w:p>
        </w:tc>
        <w:tc>
          <w:tcPr>
            <w:tcW w:type="dxa" w:w="2160"/>
            <w:shd w:val="clear" w:color="auto" w:fill="3B4259"/>
          </w:tcPr>
          <w:p>
            <w:r>
              <w:rPr>
                <w:rFonts w:ascii="Calibri" w:hAnsi="Calibri"/>
                <w:b/>
                <w:color w:val="FFFFFF"/>
                <w:sz w:val="22"/>
              </w:rPr>
              <w:t>CMI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Data Center Demand</w:t>
            </w:r>
          </w:p>
        </w:tc>
        <w:tc>
          <w:tcPr>
            <w:tcW w:type="dxa" w:w="2160"/>
          </w:tcPr>
          <w:p>
            <w:r>
              <w:rPr>
                <w:rFonts w:ascii="Calibri" w:hAnsi="Calibri"/>
                <w:sz w:val="22"/>
              </w:rPr>
              <w:t>"Unprecedented demand" across end markets. US data center backlog grew to 307GW ("15 years of backlog at 2025 build rates"). Demand growing "even faster than we estimated in our initial guidance, and today even stronger than we expected three months ago."</w:t>
            </w:r>
          </w:p>
        </w:tc>
        <w:tc>
          <w:tcPr>
            <w:tcW w:type="dxa" w:w="2160"/>
          </w:tcPr>
          <w:p>
            <w:r>
              <w:rPr>
                <w:rFonts w:ascii="Calibri" w:hAnsi="Calibri"/>
                <w:sz w:val="22"/>
              </w:rPr>
              <w:t>Directly corroborates CMI’s Power Systems data center demand narrative; $5B FY 2026 data center revenue guide and &gt;$9B 2030 target appear well-supported by industry-level demand.</w:t>
            </w:r>
          </w:p>
        </w:tc>
        <w:tc>
          <w:tcPr>
            <w:tcW w:type="dxa" w:w="2160"/>
          </w:tcPr>
          <w:p>
            <w:r>
              <w:rPr>
                <w:rFonts w:ascii="Calibri" w:hAnsi="Calibri"/>
                <w:b/>
                <w:color w:val="30A46C"/>
                <w:sz w:val="22"/>
              </w:rPr>
              <w:t>✅ Strongly Positive</w:t>
            </w:r>
          </w:p>
        </w:tc>
      </w:tr>
      <w:tr>
        <w:tc>
          <w:tcPr>
            <w:tcW w:type="dxa" w:w="2160"/>
          </w:tcPr>
          <w:p>
            <w:r>
              <w:rPr>
                <w:rFonts w:ascii="Calibri" w:hAnsi="Calibri"/>
                <w:sz w:val="22"/>
              </w:rPr>
              <w:t>Order Trends</w:t>
            </w:r>
          </w:p>
        </w:tc>
        <w:tc>
          <w:tcPr>
            <w:tcW w:type="dxa" w:w="2160"/>
          </w:tcPr>
          <w:p>
            <w:r>
              <w:rPr>
                <w:rFonts w:ascii="Calibri" w:hAnsi="Calibri"/>
                <w:sz w:val="22"/>
              </w:rPr>
              <w:t>Electrical Americas book-to-bill 1.3; total electrical orders up 41% on rolling 12-month basis; negotiations pipeline up 60% YTD. "Accelerating order growth" across all end markets.</w:t>
            </w:r>
          </w:p>
        </w:tc>
        <w:tc>
          <w:tcPr>
            <w:tcW w:type="dxa" w:w="2160"/>
          </w:tcPr>
          <w:p>
            <w:r>
              <w:rPr>
                <w:rFonts w:ascii="Calibri" w:hAnsi="Calibri"/>
                <w:sz w:val="22"/>
              </w:rPr>
              <w:t>Accelerating orders in power equipment broadly positive for CMI’s Power Systems order intake; suggests demand is not decelerating despite Caterpillar downgrade concerns.</w:t>
            </w:r>
          </w:p>
        </w:tc>
        <w:tc>
          <w:tcPr>
            <w:tcW w:type="dxa" w:w="2160"/>
          </w:tcPr>
          <w:p>
            <w:r>
              <w:rPr>
                <w:rFonts w:ascii="Calibri" w:hAnsi="Calibri"/>
                <w:b/>
                <w:color w:val="30A46C"/>
                <w:sz w:val="22"/>
              </w:rPr>
              <w:t>✅ Positive</w:t>
            </w:r>
          </w:p>
        </w:tc>
      </w:tr>
      <w:tr>
        <w:tc>
          <w:tcPr>
            <w:tcW w:type="dxa" w:w="2160"/>
          </w:tcPr>
          <w:p>
            <w:r>
              <w:rPr>
                <w:rFonts w:ascii="Calibri" w:hAnsi="Calibri"/>
                <w:sz w:val="22"/>
              </w:rPr>
              <w:t>Capacity Constraints</w:t>
            </w:r>
          </w:p>
        </w:tc>
        <w:tc>
          <w:tcPr>
            <w:tcW w:type="dxa" w:w="2160"/>
          </w:tcPr>
          <w:p>
            <w:r>
              <w:rPr>
                <w:rFonts w:ascii="Calibri" w:hAnsi="Calibri"/>
                <w:sz w:val="22"/>
              </w:rPr>
              <w:t>Investing "more than $1B in capacity expansion" across two dozen projects. Revenue per day grew 25% since start of 2025. "Bulk of disruption" from ramps occurred in Q4 2025/Q1 2026 — now "going well and progressing better than planned."</w:t>
            </w:r>
          </w:p>
        </w:tc>
        <w:tc>
          <w:tcPr>
            <w:tcW w:type="dxa" w:w="2160"/>
          </w:tcPr>
          <w:p>
            <w:r>
              <w:rPr>
                <w:rFonts w:ascii="Calibri" w:hAnsi="Calibri"/>
                <w:sz w:val="22"/>
              </w:rPr>
              <w:t>CMI’s $450M Power Systems capacity investment (announced May 21) is consistent with industry-wide capacity expansion; ETN’s smoother ramp is a positive signal for CMI’s own capacity additions.</w:t>
            </w:r>
          </w:p>
        </w:tc>
        <w:tc>
          <w:tcPr>
            <w:tcW w:type="dxa" w:w="2160"/>
          </w:tcPr>
          <w:p>
            <w:r>
              <w:rPr>
                <w:rFonts w:ascii="Calibri" w:hAnsi="Calibri"/>
                <w:b/>
                <w:color w:val="30A46C"/>
                <w:sz w:val="22"/>
              </w:rPr>
              <w:t>✅ Positive</w:t>
            </w:r>
          </w:p>
        </w:tc>
      </w:tr>
      <w:tr>
        <w:tc>
          <w:tcPr>
            <w:tcW w:type="dxa" w:w="2160"/>
          </w:tcPr>
          <w:p>
            <w:r>
              <w:rPr>
                <w:rFonts w:ascii="Calibri" w:hAnsi="Calibri"/>
                <w:sz w:val="22"/>
              </w:rPr>
              <w:t>Pricing &amp; Margins</w:t>
            </w:r>
          </w:p>
        </w:tc>
        <w:tc>
          <w:tcPr>
            <w:tcW w:type="dxa" w:w="2160"/>
          </w:tcPr>
          <w:p>
            <w:r>
              <w:rPr>
                <w:rFonts w:ascii="Calibri" w:hAnsi="Calibri"/>
                <w:sz w:val="22"/>
              </w:rPr>
              <w:t>Pricing actions taken in Q2 and early Q3 expected to return price-cost to "roughly neutral" in H2. 300 bps of H1-to-H2 margin improvement from price-cost. Electrical Americas margins at 27.5%, expanding further in H2.</w:t>
            </w:r>
          </w:p>
        </w:tc>
        <w:tc>
          <w:tcPr>
            <w:tcW w:type="dxa" w:w="2160"/>
          </w:tcPr>
          <w:p>
            <w:r>
              <w:rPr>
                <w:rFonts w:ascii="Calibri" w:hAnsi="Calibri"/>
                <w:sz w:val="22"/>
              </w:rPr>
              <w:t>Positive pricing environment in power equipment supports CMI’s ability to maintain Power Systems margins in the 25%–26% guided range; tariff recovery assumptions appear achievable.</w:t>
            </w:r>
          </w:p>
        </w:tc>
        <w:tc>
          <w:tcPr>
            <w:tcW w:type="dxa" w:w="2160"/>
          </w:tcPr>
          <w:p>
            <w:r>
              <w:rPr>
                <w:rFonts w:ascii="Calibri" w:hAnsi="Calibri"/>
                <w:b/>
                <w:color w:val="30A46C"/>
                <w:sz w:val="22"/>
              </w:rPr>
              <w:t>✅ Positive</w:t>
            </w:r>
          </w:p>
        </w:tc>
      </w:tr>
      <w:tr>
        <w:tc>
          <w:tcPr>
            <w:tcW w:type="dxa" w:w="2160"/>
          </w:tcPr>
          <w:p>
            <w:r>
              <w:rPr>
                <w:rFonts w:ascii="Calibri" w:hAnsi="Calibri"/>
                <w:sz w:val="22"/>
              </w:rPr>
              <w:t>Tariff Impact</w:t>
            </w:r>
          </w:p>
        </w:tc>
        <w:tc>
          <w:tcPr>
            <w:tcW w:type="dxa" w:w="2160"/>
          </w:tcPr>
          <w:p>
            <w:r>
              <w:rPr>
                <w:rFonts w:ascii="Calibri" w:hAnsi="Calibri"/>
                <w:sz w:val="22"/>
              </w:rPr>
              <w:t>Tariff impact for H2 considered "immaterial"; IIPA refunds of ~$2.8M in Q2 (less than $0.01 EPS). Refunds already embedded in guidance.</w:t>
            </w:r>
          </w:p>
        </w:tc>
        <w:tc>
          <w:tcPr>
            <w:tcW w:type="dxa" w:w="2160"/>
          </w:tcPr>
          <w:p>
            <w:r>
              <w:rPr>
                <w:rFonts w:ascii="Calibri" w:hAnsi="Calibri"/>
                <w:sz w:val="22"/>
              </w:rPr>
              <w:t>Consistent with CMI’s own guidance that net tariff impact will be immaterial for FY 2026; both companies have effectively neutralized tariff headwinds.</w:t>
            </w:r>
          </w:p>
        </w:tc>
        <w:tc>
          <w:tcPr>
            <w:tcW w:type="dxa" w:w="2160"/>
          </w:tcPr>
          <w:p>
            <w:r>
              <w:rPr>
                <w:rFonts w:ascii="Calibri" w:hAnsi="Calibri"/>
                <w:b/>
                <w:color w:val="30A46C"/>
                <w:sz w:val="22"/>
              </w:rPr>
              <w:t>✅ Positive</w:t>
            </w:r>
          </w:p>
        </w:tc>
      </w:tr>
      <w:tr>
        <w:tc>
          <w:tcPr>
            <w:tcW w:type="dxa" w:w="2160"/>
          </w:tcPr>
          <w:p>
            <w:r>
              <w:rPr>
                <w:rFonts w:ascii="Calibri" w:hAnsi="Calibri"/>
                <w:sz w:val="22"/>
              </w:rPr>
              <w:t>AI Data Center Pushback Risk</w:t>
            </w:r>
          </w:p>
        </w:tc>
        <w:tc>
          <w:tcPr>
            <w:tcW w:type="dxa" w:w="2160"/>
          </w:tcPr>
          <w:p>
            <w:r>
              <w:rPr>
                <w:rFonts w:ascii="Calibri" w:hAnsi="Calibri"/>
                <w:sz w:val="22"/>
              </w:rPr>
              <w:t>ETN did not flag any demand deceleration or pushback; backlog extended to 2028 and beyond. Contrast with Caterpillar’s downgrade by Baird (July 29) citing NY data center moratorium.</w:t>
            </w:r>
          </w:p>
        </w:tc>
        <w:tc>
          <w:tcPr>
            <w:tcW w:type="dxa" w:w="2160"/>
          </w:tcPr>
          <w:p>
            <w:r>
              <w:rPr>
                <w:rFonts w:ascii="Calibri" w:hAnsi="Calibri"/>
                <w:sz w:val="22"/>
              </w:rPr>
              <w:t>ETN’s results directly counter the Caterpillar downgrade narrative; CMI’s backup power business (95% behind-the-meter) is described as "nondiscretionary" — less exposed to permitting/regulatory risk than prime power.</w:t>
            </w:r>
          </w:p>
        </w:tc>
        <w:tc>
          <w:tcPr>
            <w:tcW w:type="dxa" w:w="2160"/>
          </w:tcPr>
          <w:p>
            <w:r>
              <w:rPr>
                <w:rFonts w:ascii="Calibri" w:hAnsi="Calibri"/>
                <w:b/>
                <w:color w:val="30A46C"/>
                <w:sz w:val="22"/>
              </w:rPr>
              <w:t>✅ Positive (counter to bear case)</w:t>
            </w:r>
          </w:p>
        </w:tc>
      </w:tr>
    </w:tbl>
    <w:p>
      <w:pPr>
        <w:pStyle w:val="Heading3"/>
      </w:pPr>
      <w:r>
        <w:rPr>
          <w:rFonts w:ascii="Calibri" w:hAnsi="Calibri"/>
          <w:b/>
          <w:color w:val="3B4259"/>
          <w:sz w:val="24"/>
        </w:rPr>
        <w:t>AGCO Corporation (AGCO) — Q2 2026 Earnings Call (July 30, 2026)</w:t>
      </w:r>
    </w:p>
    <w:p>
      <w:r>
        <w:rPr>
          <w:rFonts w:ascii="Calibri" w:hAnsi="Calibri"/>
          <w:b/>
          <w:color w:val="525866"/>
          <w:sz w:val="22"/>
        </w:rPr>
        <w:t xml:space="preserve">Relevance to CMI: </w:t>
      </w:r>
      <w:r>
        <w:rPr>
          <w:rFonts w:ascii="Calibri" w:hAnsi="Calibri"/>
          <w:color w:val="525866"/>
          <w:sz w:val="22"/>
        </w:rPr>
        <w:t>AGCO is an agricultural equipment OEM that uses CMI engines in certain product lines. AGCO’s commentary provides a read-through for CMI’s agricultural engine exposure, which is a smaller but meaningful part of the Engine segment.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AGCO Commentary (Q2 2026 Earnings Call, July 30, 2026)</w:t>
            </w:r>
          </w:p>
        </w:tc>
        <w:tc>
          <w:tcPr>
            <w:tcW w:type="dxa" w:w="2160"/>
            <w:shd w:val="clear" w:color="auto" w:fill="3B4259"/>
          </w:tcPr>
          <w:p>
            <w:r>
              <w:rPr>
                <w:rFonts w:ascii="Calibri" w:hAnsi="Calibri"/>
                <w:b/>
                <w:color w:val="FFFFFF"/>
                <w:sz w:val="22"/>
              </w:rPr>
              <w:t>CMI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Overall Ag Demand</w:t>
            </w:r>
          </w:p>
        </w:tc>
        <w:tc>
          <w:tcPr>
            <w:tcW w:type="dxa" w:w="2160"/>
          </w:tcPr>
          <w:p>
            <w:r>
              <w:rPr>
                <w:rFonts w:ascii="Calibri" w:hAnsi="Calibri"/>
                <w:sz w:val="22"/>
              </w:rPr>
              <w:t>"Farmers increasingly cautious amid current market dynamics." Sales in Europe and Latin America below expectations. Elevated input costs, high financing costs, and trade policy adding complexity.</w:t>
            </w:r>
          </w:p>
        </w:tc>
        <w:tc>
          <w:tcPr>
            <w:tcW w:type="dxa" w:w="2160"/>
          </w:tcPr>
          <w:p>
            <w:r>
              <w:rPr>
                <w:rFonts w:ascii="Calibri" w:hAnsi="Calibri"/>
                <w:sz w:val="22"/>
              </w:rPr>
              <w:t>Negative for CMI’s agricultural engine volumes; however, ag is a smaller portion of CMI’s Engine segment vs. on-highway trucks.</w:t>
            </w:r>
          </w:p>
        </w:tc>
        <w:tc>
          <w:tcPr>
            <w:tcW w:type="dxa" w:w="2160"/>
          </w:tcPr>
          <w:p>
            <w:r>
              <w:rPr>
                <w:rFonts w:ascii="Calibri" w:hAnsi="Calibri"/>
                <w:b/>
                <w:color w:val="E5484D"/>
                <w:sz w:val="22"/>
              </w:rPr>
              <w:t>❌ Negative (limited CMI exposure)</w:t>
            </w:r>
          </w:p>
        </w:tc>
      </w:tr>
      <w:tr>
        <w:tc>
          <w:tcPr>
            <w:tcW w:type="dxa" w:w="2160"/>
          </w:tcPr>
          <w:p>
            <w:r>
              <w:rPr>
                <w:rFonts w:ascii="Calibri" w:hAnsi="Calibri"/>
                <w:sz w:val="22"/>
              </w:rPr>
              <w:t>NA Large Ag Equipment</w:t>
            </w:r>
          </w:p>
        </w:tc>
        <w:tc>
          <w:tcPr>
            <w:tcW w:type="dxa" w:w="2160"/>
          </w:tcPr>
          <w:p>
            <w:r>
              <w:rPr>
                <w:rFonts w:ascii="Calibri" w:hAnsi="Calibri"/>
                <w:sz w:val="22"/>
              </w:rPr>
              <w:t>North America large agricultural equipment expected down ~15% vs. 2025; industry demand "remains soft year over year" with farmers deferring larger capital purchases.</w:t>
            </w:r>
          </w:p>
        </w:tc>
        <w:tc>
          <w:tcPr>
            <w:tcW w:type="dxa" w:w="2160"/>
          </w:tcPr>
          <w:p>
            <w:r>
              <w:rPr>
                <w:rFonts w:ascii="Calibri" w:hAnsi="Calibri"/>
                <w:sz w:val="22"/>
              </w:rPr>
              <w:t>Headwind for CMI’s high-horsepower agricultural engine sales in North America; partially offset by CMI’s diversification into trucks, power gen, and mining.</w:t>
            </w:r>
          </w:p>
        </w:tc>
        <w:tc>
          <w:tcPr>
            <w:tcW w:type="dxa" w:w="2160"/>
          </w:tcPr>
          <w:p>
            <w:r>
              <w:rPr>
                <w:rFonts w:ascii="Calibri" w:hAnsi="Calibri"/>
                <w:b/>
                <w:color w:val="E5484D"/>
                <w:sz w:val="22"/>
              </w:rPr>
              <w:t>❌ Negative (limited CMI exposure)</w:t>
            </w:r>
          </w:p>
        </w:tc>
      </w:tr>
      <w:tr>
        <w:tc>
          <w:tcPr>
            <w:tcW w:type="dxa" w:w="2160"/>
          </w:tcPr>
          <w:p>
            <w:r>
              <w:rPr>
                <w:rFonts w:ascii="Calibri" w:hAnsi="Calibri"/>
                <w:sz w:val="22"/>
              </w:rPr>
              <w:t>Production Cuts</w:t>
            </w:r>
          </w:p>
        </w:tc>
        <w:tc>
          <w:tcPr>
            <w:tcW w:type="dxa" w:w="2160"/>
          </w:tcPr>
          <w:p>
            <w:r>
              <w:rPr>
                <w:rFonts w:ascii="Calibri" w:hAnsi="Calibri"/>
                <w:sz w:val="22"/>
              </w:rPr>
              <w:t>AGCO cutting production significantly in North and South America to right-size dealer inventories; South America down ~30% YoY; full-year production hours expected slightly lower vs. 2025.</w:t>
            </w:r>
          </w:p>
        </w:tc>
        <w:tc>
          <w:tcPr>
            <w:tcW w:type="dxa" w:w="2160"/>
          </w:tcPr>
          <w:p>
            <w:r>
              <w:rPr>
                <w:rFonts w:ascii="Calibri" w:hAnsi="Calibri"/>
                <w:sz w:val="22"/>
              </w:rPr>
              <w:t>Lower AGCO production = lower CMI engine orders from AGCO; however, CMI’s guidance already reflects a challenging ag environment.</w:t>
            </w:r>
          </w:p>
        </w:tc>
        <w:tc>
          <w:tcPr>
            <w:tcW w:type="dxa" w:w="2160"/>
          </w:tcPr>
          <w:p>
            <w:r>
              <w:rPr>
                <w:rFonts w:ascii="Calibri" w:hAnsi="Calibri"/>
                <w:b/>
                <w:color w:val="E5484D"/>
                <w:sz w:val="22"/>
              </w:rPr>
              <w:t>❌ Negative (already in guidance)</w:t>
            </w:r>
          </w:p>
        </w:tc>
      </w:tr>
      <w:tr>
        <w:tc>
          <w:tcPr>
            <w:tcW w:type="dxa" w:w="2160"/>
          </w:tcPr>
          <w:p>
            <w:r>
              <w:rPr>
                <w:rFonts w:ascii="Calibri" w:hAnsi="Calibri"/>
                <w:sz w:val="22"/>
              </w:rPr>
              <w:t>Brazil H2 Recovery</w:t>
            </w:r>
          </w:p>
        </w:tc>
        <w:tc>
          <w:tcPr>
            <w:tcW w:type="dxa" w:w="2160"/>
          </w:tcPr>
          <w:p>
            <w:r>
              <w:rPr>
                <w:rFonts w:ascii="Calibri" w:hAnsi="Calibri"/>
                <w:sz w:val="22"/>
              </w:rPr>
              <w:t>Expects H2 2026 to be "a lot stronger" in Brazil driven by subsidized loan programs and election-year incentives; Brazil forecast updated from -5% to -5% to -10% for full year.</w:t>
            </w:r>
          </w:p>
        </w:tc>
        <w:tc>
          <w:tcPr>
            <w:tcW w:type="dxa" w:w="2160"/>
          </w:tcPr>
          <w:p>
            <w:r>
              <w:rPr>
                <w:rFonts w:ascii="Calibri" w:hAnsi="Calibri"/>
                <w:sz w:val="22"/>
              </w:rPr>
              <w:t>Modest positive for CMI’s South American engine exposure in H2; but full-year Brazil ag market still expected to be down.</w:t>
            </w:r>
          </w:p>
        </w:tc>
        <w:tc>
          <w:tcPr>
            <w:tcW w:type="dxa" w:w="2160"/>
          </w:tcPr>
          <w:p>
            <w:r>
              <w:rPr>
                <w:rFonts w:ascii="Calibri" w:hAnsi="Calibri"/>
                <w:b/>
                <w:color w:val="002FA7"/>
                <w:sz w:val="22"/>
              </w:rPr>
              <w:t>⚠️ Mixed</w:t>
            </w:r>
          </w:p>
        </w:tc>
      </w:tr>
      <w:tr>
        <w:tc>
          <w:tcPr>
            <w:tcW w:type="dxa" w:w="2160"/>
          </w:tcPr>
          <w:p>
            <w:r>
              <w:rPr>
                <w:rFonts w:ascii="Calibri" w:hAnsi="Calibri"/>
                <w:sz w:val="22"/>
              </w:rPr>
              <w:t>Long-Term Ag Fundamentals</w:t>
            </w:r>
          </w:p>
        </w:tc>
        <w:tc>
          <w:tcPr>
            <w:tcW w:type="dxa" w:w="2160"/>
          </w:tcPr>
          <w:p>
            <w:r>
              <w:rPr>
                <w:rFonts w:ascii="Calibri" w:hAnsi="Calibri"/>
                <w:sz w:val="22"/>
              </w:rPr>
              <w:t>"Confidence in the long-term fundamentals of agriculture" — aging equipment fleets, productivity needs, renewable fuels (ethanol, SAF) driving long-term demand.</w:t>
            </w:r>
          </w:p>
        </w:tc>
        <w:tc>
          <w:tcPr>
            <w:tcW w:type="dxa" w:w="2160"/>
          </w:tcPr>
          <w:p>
            <w:r>
              <w:rPr>
                <w:rFonts w:ascii="Calibri" w:hAnsi="Calibri"/>
                <w:sz w:val="22"/>
              </w:rPr>
              <w:t>Positive for CMI’s long-term agricultural engine aftermarket and replacement demand; supports CMI’s 2%–8% aftermarket growth guide.</w:t>
            </w:r>
          </w:p>
        </w:tc>
        <w:tc>
          <w:tcPr>
            <w:tcW w:type="dxa" w:w="2160"/>
          </w:tcPr>
          <w:p>
            <w:r>
              <w:rPr>
                <w:rFonts w:ascii="Calibri" w:hAnsi="Calibri"/>
                <w:b/>
                <w:color w:val="30A46C"/>
                <w:sz w:val="22"/>
              </w:rPr>
              <w:t>✅ Positive (long-term)</w:t>
            </w:r>
          </w:p>
        </w:tc>
      </w:tr>
    </w:tbl>
    <w:p>
      <w:r>
        <w:rPr>
          <w:rFonts w:ascii="Calibri" w:hAnsi="Calibri"/>
          <w:b/>
          <w:color w:val="525866"/>
          <w:sz w:val="22"/>
        </w:rPr>
        <w:t xml:space="preserve">Overall Peer Read-Through Assessment: </w:t>
      </w:r>
      <w:r>
        <w:rPr>
          <w:rFonts w:ascii="Calibri" w:hAnsi="Calibri"/>
          <w:color w:val="525866"/>
          <w:sz w:val="22"/>
        </w:rPr>
        <w:t>The peer commentary is overwhelmingly positive for CMI’s Q2 2026 setup. PCAR confirms the NA truck market is tracking the upper end of CMI’s guide, the EPA NOx clarification is a net positive for CMI’s engine launch timeline, and tariff headwinds are effectively neutralized. Eaton’s results directly counter the AI data center pushback narrative that drove CMI’s recent underperformance, with data center demand described as accelerating beyond expectations. AGCO’s weak agricultural commentary is a modest headwind but is already embedded in CMI’s guidance and represents a small portion of total revenue.</w:t>
      </w:r>
    </w:p>
    <w:p>
      <w:r>
        <w:rPr>
          <w:rFonts w:ascii="Calibri" w:hAnsi="Calibri"/>
          <w:i/>
          <w:color w:val="525866"/>
          <w:sz w:val="22"/>
        </w:rPr>
        <w:t>Sources: PCAR Q2 2026 Earnings Call Transcript (July 28, 2026); ETN Q2 2026 Earnings Call Transcript (July 31, 2026); AGCO Q2 2026 Earnings Call Transcript (July 30,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May 21 Analyst Day</w:t>
      </w:r>
      <w:r>
        <w:rPr>
          <w:rFonts w:ascii="Calibri" w:hAnsi="Calibri"/>
          <w:color w:val="525866"/>
          <w:sz w:val="22"/>
        </w:rPr>
        <w:t xml:space="preserve"> where CMI raised 2030 targets and announced a $450M Power Systems capacity investment — a structural positive. The most important near-term risk is the </w:t>
      </w:r>
      <w:r>
        <w:rPr>
          <w:rFonts w:ascii="Calibri" w:hAnsi="Calibri"/>
          <w:b/>
          <w:color w:val="525866"/>
          <w:sz w:val="22"/>
        </w:rPr>
        <w:t>Caterpillar AI data center downgrade on July 29</w:t>
      </w:r>
      <w:r>
        <w:rPr>
          <w:rFonts w:ascii="Calibri" w:hAnsi="Calibri"/>
          <w:color w:val="525866"/>
          <w:sz w:val="22"/>
        </w:rPr>
        <w:t>, which triggered a sector-wide sell-off and is the primary overhang heading into today’s print.</w:t>
      </w:r>
    </w:p>
    <w:p>
      <w:pPr>
        <w:pStyle w:val="ListBullet"/>
        <w:ind w:left="360" w:hanging="360"/>
      </w:pPr>
      <w:r>
        <w:rPr>
          <w:rFonts w:ascii="Calibri" w:hAnsi="Calibri"/>
          <w:b/>
          <w:color w:val="525866"/>
          <w:sz w:val="22"/>
        </w:rPr>
        <w:t>May 5, 2026 — Q1 2026 Earnings Beat &amp; Guidance Raise:</w:t>
      </w:r>
      <w:r>
        <w:rPr>
          <w:rFonts w:ascii="Calibri" w:hAnsi="Calibri"/>
          <w:color w:val="525866"/>
          <w:sz w:val="22"/>
        </w:rPr>
        <w:t xml:space="preserve"> CMI reported Q1 2026 results with operating EPS of $6.15 (vs. $5.57 consensus, +10.4% beat) and raised full-year revenue guidance to +8%–11% (from +3%–18%) and EBITDA margin to 17.75%–18.5%. Power Systems hit a record EBITDA margin. Stock surged ~9% on the day. </w:t>
      </w:r>
      <w:r>
        <w:rPr>
          <w:rFonts w:ascii="Calibri" w:hAnsi="Calibri"/>
          <w:color w:val="525866"/>
          <w:sz w:val="22"/>
        </w:rPr>
        <w:t>Implication: Sets a high but achievable bar for Q2; management explicitly guided for a "strong Q2 ahead."</w:t>
      </w:r>
    </w:p>
    <w:p>
      <w:pPr>
        <w:pStyle w:val="ListBullet"/>
        <w:ind w:left="360" w:hanging="360"/>
      </w:pPr>
      <w:r>
        <w:rPr>
          <w:rFonts w:ascii="Calibri" w:hAnsi="Calibri"/>
          <w:b/>
          <w:color w:val="525866"/>
          <w:sz w:val="22"/>
        </w:rPr>
        <w:t>May 14, 2026 — Annual Shareholder Meeting:</w:t>
      </w:r>
      <w:r>
        <w:rPr>
          <w:rFonts w:ascii="Calibri" w:hAnsi="Calibri"/>
          <w:color w:val="525866"/>
          <w:sz w:val="22"/>
        </w:rPr>
        <w:t xml:space="preserve"> Shareholders backed the board on key votes and rejected governance proposals. No material business impact. </w:t>
      </w:r>
      <w:r>
        <w:rPr>
          <w:rFonts w:ascii="Calibri" w:hAnsi="Calibri"/>
          <w:color w:val="525866"/>
          <w:sz w:val="22"/>
        </w:rPr>
        <w:t>Implication: Governance stability; no activist pressure.</w:t>
      </w:r>
    </w:p>
    <w:p>
      <w:pPr>
        <w:pStyle w:val="ListBullet"/>
        <w:ind w:left="360" w:hanging="360"/>
      </w:pPr>
      <w:r>
        <w:rPr>
          <w:rFonts w:ascii="Calibri" w:hAnsi="Calibri"/>
          <w:b/>
          <w:color w:val="525866"/>
          <w:sz w:val="22"/>
        </w:rPr>
        <w:t>May 21, 2026 — Analyst Day — 2030 Targets Raised:</w:t>
      </w:r>
      <w:r>
        <w:rPr>
          <w:rFonts w:ascii="Calibri" w:hAnsi="Calibri"/>
          <w:color w:val="525866"/>
          <w:sz w:val="22"/>
        </w:rPr>
        <w:t xml:space="preserve"> CMI raised 2030 revenue target to $45B–50B (from $43B–48B) and EBITDA margin target to &gt;20% (from 17%–18%). Announced additional $450M investment to expand Power Systems capacity by 20GW to 55GW total by 2030. Data center revenue target raised to &gt;$9B by 2030 (from $5B 2026 midpoint). Also disclosed NA heavy-duty engine production ramping from 250 to 400 engines/day by end of June 2026. </w:t>
      </w:r>
      <w:r>
        <w:rPr>
          <w:rFonts w:ascii="Calibri" w:hAnsi="Calibri"/>
          <w:color w:val="525866"/>
          <w:sz w:val="22"/>
        </w:rPr>
        <w:t>Implication: Structurally positive for long-term thesis; stock sold off ~10% in the week following ("sell the news"), creating a potential entry point.</w:t>
      </w:r>
    </w:p>
    <w:p>
      <w:pPr>
        <w:pStyle w:val="ListBullet"/>
        <w:ind w:left="360" w:hanging="360"/>
      </w:pPr>
      <w:r>
        <w:rPr>
          <w:rFonts w:ascii="Calibri" w:hAnsi="Calibri"/>
          <w:b/>
          <w:color w:val="525866"/>
          <w:sz w:val="22"/>
        </w:rPr>
        <w:t>June 11, 2026 — Caterpillar Dividend Increase:</w:t>
      </w:r>
      <w:r>
        <w:rPr>
          <w:rFonts w:ascii="Calibri" w:hAnsi="Calibri"/>
          <w:color w:val="525866"/>
          <w:sz w:val="22"/>
        </w:rPr>
        <w:t xml:space="preserve"> CAT boosted quarterly dividend by 7.9% to $1.63/share. Indirect read-through: CAT’s confidence in cash flows is consistent with strong industrial demand. </w:t>
      </w:r>
      <w:r>
        <w:rPr>
          <w:rFonts w:ascii="Calibri" w:hAnsi="Calibri"/>
          <w:color w:val="525866"/>
          <w:sz w:val="22"/>
        </w:rPr>
        <w:t>Implication: Positive sector sentiment signal.</w:t>
      </w:r>
    </w:p>
    <w:p>
      <w:pPr>
        <w:pStyle w:val="ListBullet"/>
        <w:ind w:left="360" w:hanging="360"/>
      </w:pPr>
      <w:r>
        <w:rPr>
          <w:rFonts w:ascii="Calibri" w:hAnsi="Calibri"/>
          <w:b/>
          <w:color w:val="525866"/>
          <w:sz w:val="22"/>
        </w:rPr>
        <w:t>July 28, 2026 — PCAR Q2 2026 Earnings (Key Read-Through):</w:t>
      </w:r>
      <w:r>
        <w:rPr>
          <w:rFonts w:ascii="Calibri" w:hAnsi="Calibri"/>
          <w:color w:val="525866"/>
          <w:sz w:val="22"/>
        </w:rPr>
        <w:t xml:space="preserve"> PCAR confirmed NA heavy-duty truck market tracking ~250,000 units for FY 2026 (upper end of CMI’s guide), Q3 deliveries ramping to ~42,000 units, and EPA NOx clarification extending timeline for 35mg engines with NCFs of $6,000–17,000/truck. PCAR explicitly named Cummins as a partner engine supplier for current-generation products. </w:t>
      </w:r>
      <w:r>
        <w:rPr>
          <w:rFonts w:ascii="Calibri" w:hAnsi="Calibri"/>
          <w:color w:val="525866"/>
          <w:sz w:val="22"/>
        </w:rPr>
        <w:t>Implication: Directly positive for CMI’s Engine segment Q2 and H2 2026 outlook.</w:t>
      </w:r>
    </w:p>
    <w:p>
      <w:pPr>
        <w:pStyle w:val="ListBullet"/>
        <w:ind w:left="360" w:hanging="360"/>
      </w:pPr>
      <w:r>
        <w:rPr>
          <w:rFonts w:ascii="Calibri" w:hAnsi="Calibri"/>
          <w:b/>
          <w:color w:val="525866"/>
          <w:sz w:val="22"/>
        </w:rPr>
        <w:t>July 29, 2026 — Caterpillar Downgraded by Baird (Key Risk Event):</w:t>
      </w:r>
      <w:r>
        <w:rPr>
          <w:rFonts w:ascii="Calibri" w:hAnsi="Calibri"/>
          <w:color w:val="525866"/>
          <w:sz w:val="22"/>
        </w:rPr>
        <w:t xml:space="preserve"> Baird downgraded CAT to Hold citing AI data center pushback and a New York moratorium on data center construction as examples of mounting regulatory risks to the AI-driven rally. CMI fell ~8.9% on the same day as a direct read-through to Power Systems. </w:t>
      </w:r>
      <w:r>
        <w:rPr>
          <w:rFonts w:ascii="Calibri" w:hAnsi="Calibri"/>
          <w:color w:val="525866"/>
          <w:sz w:val="22"/>
        </w:rPr>
        <w:t>Implication: Primary near-term overhang; however, ETN’s July 31 results (data center demand accelerating) and CMI’s 95% behind-the-meter backup power positioning (nondiscretionary) partially counter this narrative.</w:t>
      </w:r>
    </w:p>
    <w:p>
      <w:pPr>
        <w:pStyle w:val="ListBullet"/>
        <w:ind w:left="360" w:hanging="360"/>
      </w:pPr>
      <w:r>
        <w:rPr>
          <w:rFonts w:ascii="Calibri" w:hAnsi="Calibri"/>
          <w:b/>
          <w:color w:val="525866"/>
          <w:sz w:val="22"/>
        </w:rPr>
        <w:t>July 29, 2026 — NextEra/Brookfield $100B Nuclear Data Center Campus:</w:t>
      </w:r>
      <w:r>
        <w:rPr>
          <w:rFonts w:ascii="Calibri" w:hAnsi="Calibri"/>
          <w:color w:val="525866"/>
          <w:sz w:val="22"/>
        </w:rPr>
        <w:t xml:space="preserve"> NEE and Brookfield announced plans for a $100B nuclear-powered data center campus in Kentucky. </w:t>
      </w:r>
      <w:r>
        <w:rPr>
          <w:rFonts w:ascii="Calibri" w:hAnsi="Calibri"/>
          <w:color w:val="525866"/>
          <w:sz w:val="22"/>
        </w:rPr>
        <w:t>Implication: Long-term positive for power demand broadly; nuclear-powered campuses still require backup power generation during outages, supporting CMI’s Power Systems demand.</w:t>
      </w:r>
    </w:p>
    <w:p>
      <w:pPr>
        <w:pStyle w:val="ListBullet"/>
        <w:ind w:left="360" w:hanging="360"/>
      </w:pPr>
      <w:r>
        <w:rPr>
          <w:rFonts w:ascii="Calibri" w:hAnsi="Calibri"/>
          <w:b/>
          <w:color w:val="525866"/>
          <w:sz w:val="22"/>
        </w:rPr>
        <w:t>July 30–31, 2026 — ETN Q2 2026 Earnings (Key Read-Through):</w:t>
      </w:r>
      <w:r>
        <w:rPr>
          <w:rFonts w:ascii="Calibri" w:hAnsi="Calibri"/>
          <w:color w:val="525866"/>
          <w:sz w:val="22"/>
        </w:rPr>
        <w:t xml:space="preserve"> Eaton reported record Q2 revenue of $8.5B (+21% total, +14% organic), raised full-year organic growth guide to +12% at midpoint, and described data center demand as growing "even faster than we estimated." US data center backlog at 307GW (15 years of backlog). </w:t>
      </w:r>
      <w:r>
        <w:rPr>
          <w:rFonts w:ascii="Calibri" w:hAnsi="Calibri"/>
          <w:color w:val="525866"/>
          <w:sz w:val="22"/>
        </w:rPr>
        <w:t>Implication: Directly counters the Caterpillar downgrade narrative; strongly positive for CMI’s Power Systems Q2 and FY 2026 outlook.</w:t>
      </w:r>
    </w:p>
    <w:p>
      <w:pPr>
        <w:pStyle w:val="ListBullet"/>
        <w:ind w:left="360" w:hanging="360"/>
      </w:pPr>
      <w:r>
        <w:rPr>
          <w:rFonts w:ascii="Calibri" w:hAnsi="Calibri"/>
          <w:b/>
          <w:color w:val="525866"/>
          <w:sz w:val="22"/>
        </w:rPr>
        <w:t>August 4, 2026 — Caterpillar Q2 2026 Earnings (Same Day):</w:t>
      </w:r>
      <w:r>
        <w:rPr>
          <w:rFonts w:ascii="Calibri" w:hAnsi="Calibri"/>
          <w:color w:val="525866"/>
          <w:sz w:val="22"/>
        </w:rPr>
        <w:t xml:space="preserve"> CAT is also reporting Q2 2026 results today. CAT’s commentary on data center demand, mining, and construction will be a real-time read-through for CMI. </w:t>
      </w:r>
      <w:r>
        <w:rPr>
          <w:rFonts w:ascii="Calibri" w:hAnsi="Calibri"/>
          <w:color w:val="525866"/>
          <w:sz w:val="22"/>
        </w:rPr>
        <w:t>Implication: CAT results could move CMI in either direction before/after CMI’s own call at 10:00 AM ET.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activity since Q1 earnings consists of open-market sales by multiple executives in the days immediately following the Q1 print — a cluster of post-earnings sales that is typical of executives monetizing vested equity after a strong quarter and stock surge, but the absence of any open-market buys and the breadth of sellers (6 different insiders) is worth noting. No 10b5-1 plan initiations were disclosed.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Nicole Lamb-Hale</w:t>
            </w:r>
          </w:p>
        </w:tc>
        <w:tc>
          <w:tcPr>
            <w:tcW w:type="dxa" w:w="1234"/>
          </w:tcPr>
          <w:p>
            <w:r>
              <w:rPr>
                <w:rFonts w:ascii="Calibri" w:hAnsi="Calibri"/>
                <w:sz w:val="22"/>
              </w:rPr>
              <w:t>VP, CAO &amp; Corporate Secretary</w:t>
            </w:r>
          </w:p>
        </w:tc>
        <w:tc>
          <w:tcPr>
            <w:tcW w:type="dxa" w:w="1234"/>
          </w:tcPr>
          <w:p>
            <w:r>
              <w:rPr>
                <w:rFonts w:ascii="Calibri" w:hAnsi="Calibri"/>
                <w:sz w:val="22"/>
              </w:rPr>
              <w:t>Open Market Sale</w:t>
            </w:r>
          </w:p>
        </w:tc>
        <w:tc>
          <w:tcPr>
            <w:tcW w:type="dxa" w:w="1234"/>
          </w:tcPr>
          <w:p>
            <w:r>
              <w:rPr>
                <w:rFonts w:ascii="Calibri" w:hAnsi="Calibri"/>
                <w:sz w:val="22"/>
              </w:rPr>
              <w:t>2,408</w:t>
            </w:r>
          </w:p>
        </w:tc>
        <w:tc>
          <w:tcPr>
            <w:tcW w:type="dxa" w:w="1234"/>
          </w:tcPr>
          <w:p>
            <w:r>
              <w:rPr>
                <w:rFonts w:ascii="Calibri" w:hAnsi="Calibri"/>
                <w:sz w:val="22"/>
              </w:rPr>
              <w:t>May 8, 2026</w:t>
            </w:r>
          </w:p>
        </w:tc>
        <w:tc>
          <w:tcPr>
            <w:tcW w:type="dxa" w:w="1234"/>
          </w:tcPr>
          <w:p>
            <w:r>
              <w:rPr>
                <w:rFonts w:ascii="Calibri" w:hAnsi="Calibri"/>
                <w:sz w:val="22"/>
              </w:rPr>
              <w:t>May 8, 2026</w:t>
            </w:r>
          </w:p>
        </w:tc>
        <w:tc>
          <w:tcPr>
            <w:tcW w:type="dxa" w:w="1234"/>
          </w:tcPr>
          <w:p>
            <w:r>
              <w:rPr>
                <w:rFonts w:ascii="Calibri" w:hAnsi="Calibri"/>
                <w:sz w:val="22"/>
              </w:rPr>
              <w:t>Discretionary; 3 days post-Q1 earnings; stock near post-earnings high</w:t>
            </w:r>
          </w:p>
        </w:tc>
      </w:tr>
      <w:tr>
        <w:tc>
          <w:tcPr>
            <w:tcW w:type="dxa" w:w="1234"/>
          </w:tcPr>
          <w:p>
            <w:r>
              <w:rPr>
                <w:rFonts w:ascii="Calibri" w:hAnsi="Calibri"/>
                <w:sz w:val="22"/>
              </w:rPr>
              <w:t>Marvin Boakye</w:t>
            </w:r>
          </w:p>
        </w:tc>
        <w:tc>
          <w:tcPr>
            <w:tcW w:type="dxa" w:w="1234"/>
          </w:tcPr>
          <w:p>
            <w:r>
              <w:rPr>
                <w:rFonts w:ascii="Calibri" w:hAnsi="Calibri"/>
                <w:sz w:val="22"/>
              </w:rPr>
              <w:t>VP — CHRO</w:t>
            </w:r>
          </w:p>
        </w:tc>
        <w:tc>
          <w:tcPr>
            <w:tcW w:type="dxa" w:w="1234"/>
          </w:tcPr>
          <w:p>
            <w:r>
              <w:rPr>
                <w:rFonts w:ascii="Calibri" w:hAnsi="Calibri"/>
                <w:sz w:val="22"/>
              </w:rPr>
              <w:t>Open Market Sale</w:t>
            </w:r>
          </w:p>
        </w:tc>
        <w:tc>
          <w:tcPr>
            <w:tcW w:type="dxa" w:w="1234"/>
          </w:tcPr>
          <w:p>
            <w:r>
              <w:rPr>
                <w:rFonts w:ascii="Calibri" w:hAnsi="Calibri"/>
                <w:sz w:val="22"/>
              </w:rPr>
              <w:t>3,481</w:t>
            </w:r>
          </w:p>
        </w:tc>
        <w:tc>
          <w:tcPr>
            <w:tcW w:type="dxa" w:w="1234"/>
          </w:tcPr>
          <w:p>
            <w:r>
              <w:rPr>
                <w:rFonts w:ascii="Calibri" w:hAnsi="Calibri"/>
                <w:sz w:val="22"/>
              </w:rPr>
              <w:t>May 8, 2026</w:t>
            </w:r>
          </w:p>
        </w:tc>
        <w:tc>
          <w:tcPr>
            <w:tcW w:type="dxa" w:w="1234"/>
          </w:tcPr>
          <w:p>
            <w:r>
              <w:rPr>
                <w:rFonts w:ascii="Calibri" w:hAnsi="Calibri"/>
                <w:sz w:val="22"/>
              </w:rPr>
              <w:t>May 11, 2026</w:t>
            </w:r>
          </w:p>
        </w:tc>
        <w:tc>
          <w:tcPr>
            <w:tcW w:type="dxa" w:w="1234"/>
          </w:tcPr>
          <w:p>
            <w:r>
              <w:rPr>
                <w:rFonts w:ascii="Calibri" w:hAnsi="Calibri"/>
                <w:sz w:val="22"/>
              </w:rPr>
              <w:t>Discretionary; post-earnings sale; largest share count in the cluster</w:t>
            </w:r>
          </w:p>
        </w:tc>
      </w:tr>
      <w:tr>
        <w:tc>
          <w:tcPr>
            <w:tcW w:type="dxa" w:w="1234"/>
          </w:tcPr>
          <w:p>
            <w:r>
              <w:rPr>
                <w:rFonts w:ascii="Calibri" w:hAnsi="Calibri"/>
                <w:sz w:val="22"/>
              </w:rPr>
              <w:t>Bonnie J. Fetch</w:t>
            </w:r>
          </w:p>
        </w:tc>
        <w:tc>
          <w:tcPr>
            <w:tcW w:type="dxa" w:w="1234"/>
          </w:tcPr>
          <w:p>
            <w:r>
              <w:rPr>
                <w:rFonts w:ascii="Calibri" w:hAnsi="Calibri"/>
                <w:sz w:val="22"/>
              </w:rPr>
              <w:t>EVP &amp; President — Operations</w:t>
            </w:r>
          </w:p>
        </w:tc>
        <w:tc>
          <w:tcPr>
            <w:tcW w:type="dxa" w:w="1234"/>
          </w:tcPr>
          <w:p>
            <w:r>
              <w:rPr>
                <w:rFonts w:ascii="Calibri" w:hAnsi="Calibri"/>
                <w:sz w:val="22"/>
              </w:rPr>
              <w:t>Open Market Sale (Direct)</w:t>
            </w:r>
          </w:p>
        </w:tc>
        <w:tc>
          <w:tcPr>
            <w:tcW w:type="dxa" w:w="1234"/>
          </w:tcPr>
          <w:p>
            <w:r>
              <w:rPr>
                <w:rFonts w:ascii="Calibri" w:hAnsi="Calibri"/>
                <w:sz w:val="22"/>
              </w:rPr>
              <w:t>652</w:t>
            </w:r>
          </w:p>
        </w:tc>
        <w:tc>
          <w:tcPr>
            <w:tcW w:type="dxa" w:w="1234"/>
          </w:tcPr>
          <w:p>
            <w:r>
              <w:rPr>
                <w:rFonts w:ascii="Calibri" w:hAnsi="Calibri"/>
                <w:sz w:val="22"/>
              </w:rPr>
              <w:t>May 11, 2026</w:t>
            </w:r>
          </w:p>
        </w:tc>
        <w:tc>
          <w:tcPr>
            <w:tcW w:type="dxa" w:w="1234"/>
          </w:tcPr>
          <w:p>
            <w:r>
              <w:rPr>
                <w:rFonts w:ascii="Calibri" w:hAnsi="Calibri"/>
                <w:sz w:val="22"/>
              </w:rPr>
              <w:t>May 11, 2026</w:t>
            </w:r>
          </w:p>
        </w:tc>
        <w:tc>
          <w:tcPr>
            <w:tcW w:type="dxa" w:w="1234"/>
          </w:tcPr>
          <w:p>
            <w:r>
              <w:rPr>
                <w:rFonts w:ascii="Calibri" w:hAnsi="Calibri"/>
                <w:sz w:val="22"/>
              </w:rPr>
              <w:t>Discretionary; senior operational executive selling near post-earnings high</w:t>
            </w:r>
          </w:p>
        </w:tc>
      </w:tr>
      <w:tr>
        <w:tc>
          <w:tcPr>
            <w:tcW w:type="dxa" w:w="1234"/>
          </w:tcPr>
          <w:p>
            <w:r>
              <w:rPr>
                <w:rFonts w:ascii="Calibri" w:hAnsi="Calibri"/>
                <w:sz w:val="22"/>
              </w:rPr>
              <w:t>Bonnie J. Fetch</w:t>
            </w:r>
          </w:p>
        </w:tc>
        <w:tc>
          <w:tcPr>
            <w:tcW w:type="dxa" w:w="1234"/>
          </w:tcPr>
          <w:p>
            <w:r>
              <w:rPr>
                <w:rFonts w:ascii="Calibri" w:hAnsi="Calibri"/>
                <w:sz w:val="22"/>
              </w:rPr>
              <w:t>EVP &amp; President — Operations</w:t>
            </w:r>
          </w:p>
        </w:tc>
        <w:tc>
          <w:tcPr>
            <w:tcW w:type="dxa" w:w="1234"/>
          </w:tcPr>
          <w:p>
            <w:r>
              <w:rPr>
                <w:rFonts w:ascii="Calibri" w:hAnsi="Calibri"/>
                <w:sz w:val="22"/>
              </w:rPr>
              <w:t>Open Market Sale (401k Plan)</w:t>
            </w:r>
          </w:p>
        </w:tc>
        <w:tc>
          <w:tcPr>
            <w:tcW w:type="dxa" w:w="1234"/>
          </w:tcPr>
          <w:p>
            <w:r>
              <w:rPr>
                <w:rFonts w:ascii="Calibri" w:hAnsi="Calibri"/>
                <w:sz w:val="22"/>
              </w:rPr>
              <w:t>643</w:t>
            </w:r>
          </w:p>
        </w:tc>
        <w:tc>
          <w:tcPr>
            <w:tcW w:type="dxa" w:w="1234"/>
          </w:tcPr>
          <w:p>
            <w:r>
              <w:rPr>
                <w:rFonts w:ascii="Calibri" w:hAnsi="Calibri"/>
                <w:sz w:val="22"/>
              </w:rPr>
              <w:t>May 11, 2026</w:t>
            </w:r>
          </w:p>
        </w:tc>
        <w:tc>
          <w:tcPr>
            <w:tcW w:type="dxa" w:w="1234"/>
          </w:tcPr>
          <w:p>
            <w:r>
              <w:rPr>
                <w:rFonts w:ascii="Calibri" w:hAnsi="Calibri"/>
                <w:sz w:val="22"/>
              </w:rPr>
              <w:t>May 13, 2026</w:t>
            </w:r>
          </w:p>
        </w:tc>
        <w:tc>
          <w:tcPr>
            <w:tcW w:type="dxa" w:w="1234"/>
          </w:tcPr>
          <w:p>
            <w:r>
              <w:rPr>
                <w:rFonts w:ascii="Calibri" w:hAnsi="Calibri"/>
                <w:sz w:val="22"/>
              </w:rPr>
              <w:t>Indirect (401k plan); routine plan-driven disposition</w:t>
            </w:r>
          </w:p>
        </w:tc>
      </w:tr>
      <w:tr>
        <w:tc>
          <w:tcPr>
            <w:tcW w:type="dxa" w:w="1234"/>
          </w:tcPr>
          <w:p>
            <w:r>
              <w:rPr>
                <w:rFonts w:ascii="Calibri" w:hAnsi="Calibri"/>
                <w:sz w:val="22"/>
              </w:rPr>
              <w:t>Nathan R. Stoner</w:t>
            </w:r>
          </w:p>
        </w:tc>
        <w:tc>
          <w:tcPr>
            <w:tcW w:type="dxa" w:w="1234"/>
          </w:tcPr>
          <w:p>
            <w:r>
              <w:rPr>
                <w:rFonts w:ascii="Calibri" w:hAnsi="Calibri"/>
                <w:sz w:val="22"/>
              </w:rPr>
              <w:t>VP — China ABO</w:t>
            </w:r>
          </w:p>
        </w:tc>
        <w:tc>
          <w:tcPr>
            <w:tcW w:type="dxa" w:w="1234"/>
          </w:tcPr>
          <w:p>
            <w:r>
              <w:rPr>
                <w:rFonts w:ascii="Calibri" w:hAnsi="Calibri"/>
                <w:sz w:val="22"/>
              </w:rPr>
              <w:t>Open Market Sale</w:t>
            </w:r>
          </w:p>
        </w:tc>
        <w:tc>
          <w:tcPr>
            <w:tcW w:type="dxa" w:w="1234"/>
          </w:tcPr>
          <w:p>
            <w:r>
              <w:rPr>
                <w:rFonts w:ascii="Calibri" w:hAnsi="Calibri"/>
                <w:sz w:val="22"/>
              </w:rPr>
              <w:t>607</w:t>
            </w:r>
          </w:p>
        </w:tc>
        <w:tc>
          <w:tcPr>
            <w:tcW w:type="dxa" w:w="1234"/>
          </w:tcPr>
          <w:p>
            <w:r>
              <w:rPr>
                <w:rFonts w:ascii="Calibri" w:hAnsi="Calibri"/>
                <w:sz w:val="22"/>
              </w:rPr>
              <w:t>May 11, 2026</w:t>
            </w:r>
          </w:p>
        </w:tc>
        <w:tc>
          <w:tcPr>
            <w:tcW w:type="dxa" w:w="1234"/>
          </w:tcPr>
          <w:p>
            <w:r>
              <w:rPr>
                <w:rFonts w:ascii="Calibri" w:hAnsi="Calibri"/>
                <w:sz w:val="22"/>
              </w:rPr>
              <w:t>May 11, 2026</w:t>
            </w:r>
          </w:p>
        </w:tc>
        <w:tc>
          <w:tcPr>
            <w:tcW w:type="dxa" w:w="1234"/>
          </w:tcPr>
          <w:p>
            <w:r>
              <w:rPr>
                <w:rFonts w:ascii="Calibri" w:hAnsi="Calibri"/>
                <w:sz w:val="22"/>
              </w:rPr>
              <w:t>Discretionary; smaller position sale</w:t>
            </w:r>
          </w:p>
        </w:tc>
      </w:tr>
      <w:tr>
        <w:tc>
          <w:tcPr>
            <w:tcW w:type="dxa" w:w="1234"/>
          </w:tcPr>
          <w:p>
            <w:r>
              <w:rPr>
                <w:rFonts w:ascii="Calibri" w:hAnsi="Calibri"/>
                <w:sz w:val="22"/>
              </w:rPr>
              <w:t>Brett Michael Merritt</w:t>
            </w:r>
          </w:p>
        </w:tc>
        <w:tc>
          <w:tcPr>
            <w:tcW w:type="dxa" w:w="1234"/>
          </w:tcPr>
          <w:p>
            <w:r>
              <w:rPr>
                <w:rFonts w:ascii="Calibri" w:hAnsi="Calibri"/>
                <w:sz w:val="22"/>
              </w:rPr>
              <w:t>VP &amp; President — Engine Business</w:t>
            </w:r>
          </w:p>
        </w:tc>
        <w:tc>
          <w:tcPr>
            <w:tcW w:type="dxa" w:w="1234"/>
          </w:tcPr>
          <w:p>
            <w:r>
              <w:rPr>
                <w:rFonts w:ascii="Calibri" w:hAnsi="Calibri"/>
                <w:sz w:val="22"/>
              </w:rPr>
              <w:t>Open Market Sale</w:t>
            </w:r>
          </w:p>
        </w:tc>
        <w:tc>
          <w:tcPr>
            <w:tcW w:type="dxa" w:w="1234"/>
          </w:tcPr>
          <w:p>
            <w:r>
              <w:rPr>
                <w:rFonts w:ascii="Calibri" w:hAnsi="Calibri"/>
                <w:sz w:val="22"/>
              </w:rPr>
              <w:t>701</w:t>
            </w:r>
          </w:p>
        </w:tc>
        <w:tc>
          <w:tcPr>
            <w:tcW w:type="dxa" w:w="1234"/>
          </w:tcPr>
          <w:p>
            <w:r>
              <w:rPr>
                <w:rFonts w:ascii="Calibri" w:hAnsi="Calibri"/>
                <w:sz w:val="22"/>
              </w:rPr>
              <w:t>May 11, 2026</w:t>
            </w:r>
          </w:p>
        </w:tc>
        <w:tc>
          <w:tcPr>
            <w:tcW w:type="dxa" w:w="1234"/>
          </w:tcPr>
          <w:p>
            <w:r>
              <w:rPr>
                <w:rFonts w:ascii="Calibri" w:hAnsi="Calibri"/>
                <w:sz w:val="22"/>
              </w:rPr>
              <w:t>May 12, 2026</w:t>
            </w:r>
          </w:p>
        </w:tc>
        <w:tc>
          <w:tcPr>
            <w:tcW w:type="dxa" w:w="1234"/>
          </w:tcPr>
          <w:p>
            <w:r>
              <w:rPr>
                <w:rFonts w:ascii="Calibri" w:hAnsi="Calibri"/>
                <w:sz w:val="22"/>
              </w:rPr>
              <w:t>Discretionary; Engine Business President selling post-earnings</w:t>
            </w:r>
          </w:p>
        </w:tc>
      </w:tr>
      <w:tr>
        <w:tc>
          <w:tcPr>
            <w:tcW w:type="dxa" w:w="1234"/>
          </w:tcPr>
          <w:p>
            <w:r>
              <w:rPr>
                <w:rFonts w:ascii="Calibri" w:hAnsi="Calibri"/>
                <w:sz w:val="22"/>
              </w:rPr>
              <w:t>Jennifer Mary Bush</w:t>
            </w:r>
          </w:p>
        </w:tc>
        <w:tc>
          <w:tcPr>
            <w:tcW w:type="dxa" w:w="1234"/>
          </w:tcPr>
          <w:p>
            <w:r>
              <w:rPr>
                <w:rFonts w:ascii="Calibri" w:hAnsi="Calibri"/>
                <w:sz w:val="22"/>
              </w:rPr>
              <w:t>VP &amp; President — Power Systems</w:t>
            </w:r>
          </w:p>
        </w:tc>
        <w:tc>
          <w:tcPr>
            <w:tcW w:type="dxa" w:w="1234"/>
          </w:tcPr>
          <w:p>
            <w:r>
              <w:rPr>
                <w:rFonts w:ascii="Calibri" w:hAnsi="Calibri"/>
                <w:sz w:val="22"/>
              </w:rPr>
              <w:t>Open Market Sale</w:t>
            </w:r>
          </w:p>
        </w:tc>
        <w:tc>
          <w:tcPr>
            <w:tcW w:type="dxa" w:w="1234"/>
          </w:tcPr>
          <w:p>
            <w:r>
              <w:rPr>
                <w:rFonts w:ascii="Calibri" w:hAnsi="Calibri"/>
                <w:sz w:val="22"/>
              </w:rPr>
              <w:t>5,000</w:t>
            </w:r>
          </w:p>
        </w:tc>
        <w:tc>
          <w:tcPr>
            <w:tcW w:type="dxa" w:w="1234"/>
          </w:tcPr>
          <w:p>
            <w:r>
              <w:rPr>
                <w:rFonts w:ascii="Calibri" w:hAnsi="Calibri"/>
                <w:sz w:val="22"/>
              </w:rPr>
              <w:t>May 12, 2026</w:t>
            </w:r>
          </w:p>
        </w:tc>
        <w:tc>
          <w:tcPr>
            <w:tcW w:type="dxa" w:w="1234"/>
          </w:tcPr>
          <w:p>
            <w:r>
              <w:rPr>
                <w:rFonts w:ascii="Calibri" w:hAnsi="Calibri"/>
                <w:sz w:val="22"/>
              </w:rPr>
              <w:t>May 13, 2026</w:t>
            </w:r>
          </w:p>
        </w:tc>
        <w:tc>
          <w:tcPr>
            <w:tcW w:type="dxa" w:w="1234"/>
          </w:tcPr>
          <w:p>
            <w:r>
              <w:rPr>
                <w:rFonts w:ascii="Calibri" w:hAnsi="Calibri"/>
                <w:sz w:val="22"/>
              </w:rPr>
              <w:t>Discretionary; largest dollar-value sale; Power Systems President selling at post-earnings high</w:t>
            </w:r>
          </w:p>
        </w:tc>
      </w:tr>
      <w:tr>
        <w:tc>
          <w:tcPr>
            <w:tcW w:type="dxa" w:w="1234"/>
          </w:tcPr>
          <w:p>
            <w:r>
              <w:rPr>
                <w:rFonts w:ascii="Calibri" w:hAnsi="Calibri"/>
                <w:sz w:val="22"/>
              </w:rPr>
              <w:t>Donald G. Jackson</w:t>
            </w:r>
          </w:p>
        </w:tc>
        <w:tc>
          <w:tcPr>
            <w:tcW w:type="dxa" w:w="1234"/>
          </w:tcPr>
          <w:p>
            <w:r>
              <w:rPr>
                <w:rFonts w:ascii="Calibri" w:hAnsi="Calibri"/>
                <w:sz w:val="22"/>
              </w:rPr>
              <w:t>VP — Treasury &amp; Tax</w:t>
            </w:r>
          </w:p>
        </w:tc>
        <w:tc>
          <w:tcPr>
            <w:tcW w:type="dxa" w:w="1234"/>
          </w:tcPr>
          <w:p>
            <w:r>
              <w:rPr>
                <w:rFonts w:ascii="Calibri" w:hAnsi="Calibri"/>
                <w:sz w:val="22"/>
              </w:rPr>
              <w:t>Open Market Sale</w:t>
            </w:r>
          </w:p>
        </w:tc>
        <w:tc>
          <w:tcPr>
            <w:tcW w:type="dxa" w:w="1234"/>
          </w:tcPr>
          <w:p>
            <w:r>
              <w:rPr>
                <w:rFonts w:ascii="Calibri" w:hAnsi="Calibri"/>
                <w:sz w:val="22"/>
              </w:rPr>
              <w:t>730</w:t>
            </w:r>
          </w:p>
        </w:tc>
        <w:tc>
          <w:tcPr>
            <w:tcW w:type="dxa" w:w="1234"/>
          </w:tcPr>
          <w:p>
            <w:r>
              <w:rPr>
                <w:rFonts w:ascii="Calibri" w:hAnsi="Calibri"/>
                <w:sz w:val="22"/>
              </w:rPr>
              <w:t>May 14, 2026</w:t>
            </w:r>
          </w:p>
        </w:tc>
        <w:tc>
          <w:tcPr>
            <w:tcW w:type="dxa" w:w="1234"/>
          </w:tcPr>
          <w:p>
            <w:r>
              <w:rPr>
                <w:rFonts w:ascii="Calibri" w:hAnsi="Calibri"/>
                <w:sz w:val="22"/>
              </w:rPr>
              <w:t>May 14, 2026</w:t>
            </w:r>
          </w:p>
        </w:tc>
        <w:tc>
          <w:tcPr>
            <w:tcW w:type="dxa" w:w="1234"/>
          </w:tcPr>
          <w:p>
            <w:r>
              <w:rPr>
                <w:rFonts w:ascii="Calibri" w:hAnsi="Calibri"/>
                <w:sz w:val="22"/>
              </w:rPr>
              <w:t>Discretionary; Treasury VP selling post-earnings</w:t>
            </w:r>
          </w:p>
        </w:tc>
      </w:tr>
    </w:tbl>
    <w:p>
      <w:r>
        <w:rPr>
          <w:rFonts w:ascii="Calibri" w:hAnsi="Calibri"/>
          <w:b/>
          <w:color w:val="525866"/>
          <w:sz w:val="22"/>
        </w:rPr>
        <w:t xml:space="preserve">Assessment: </w:t>
      </w:r>
      <w:r>
        <w:rPr>
          <w:rFonts w:ascii="Calibri" w:hAnsi="Calibri"/>
          <w:color w:val="525866"/>
          <w:sz w:val="22"/>
        </w:rPr>
        <w:t xml:space="preserve">The cluster of 8 sales across 6 executives in the 7 trading days following Q1 earnings (May 8–14) is consistent with a coordinated post-earnings window opening for insiders to monetize vested equity after a strong quarter and stock surge to ~$715. The most notable transaction is the </w:t>
      </w:r>
      <w:r>
        <w:rPr>
          <w:rFonts w:ascii="Calibri" w:hAnsi="Calibri"/>
          <w:b/>
          <w:color w:val="525866"/>
          <w:sz w:val="22"/>
        </w:rPr>
        <w:t>5,000-share sale by Jennifer Bush (Power Systems President)</w:t>
      </w:r>
      <w:r>
        <w:rPr>
          <w:rFonts w:ascii="Calibri" w:hAnsi="Calibri"/>
          <w:color w:val="525866"/>
          <w:sz w:val="22"/>
        </w:rPr>
        <w:t xml:space="preserve"> — the largest by share count among segment presidents — which could be read as the executive most familiar with Power Systems’ margin trajectory taking profits near the post-earnings high. However, all sales are discretionary (no 10b5-1 plan flags in the data), and the absence of any open-market buys since Q1 is a mild negative signal. No insider transactions were filed in June or July 2026, suggesting the selling was opportunistic rather than a sustained distribution.</w:t>
      </w:r>
    </w:p>
    <w:p>
      <w:r>
        <w:rPr>
          <w:rFonts w:ascii="Calibri" w:hAnsi="Calibri"/>
          <w:i/>
          <w:color w:val="525866"/>
          <w:sz w:val="22"/>
        </w:rPr>
        <w:t>Source: SEC Form 4 Filings Database (Insider Transaction Data)</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