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p-earnings-predictions--2026-08-06"/>
    <w:p>
      <w:pPr>
        <w:pStyle w:val="Heading1"/>
      </w:pPr>
      <w:r>
        <w:t xml:space="preserve">COP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Cash from operations (CFO)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production (MBOED)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~2,205 vs. cons ~2,200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cost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10.2B (FY26) — a cut is a high-quality positive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12.3B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Return of capital /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</m:t>
              </m:r>
              <m:r>
                <m:t>B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1.0B (Q2/2H26; ~45% of a much bigger CFO)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Mid-cycle oil-price / macro floor framing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65</m:t>
              </m:r>
              <m:r>
                <m:rPr>
                  <m:sty m:val="p"/>
                </m:rPr>
                <m:t>−</m:t>
              </m:r>
              <m:r>
                <m:t>70</m:t>
              </m:r>
              <m:r>
                <m:t>W</m:t>
              </m:r>
              <m:r>
                <m:t>T</m:t>
              </m:r>
              <m:r>
                <m:t>I</m:t>
              </m:r>
              <m:r>
                <m:t>n</m:t>
              </m:r>
              <m:r>
                <m:t>o</m:t>
              </m:r>
              <m:r>
                <m:t>r</m:t>
              </m:r>
              <m:r>
                <m:t>m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i</m:t>
              </m:r>
              <m:r>
                <m:t>n</m:t>
              </m:r>
              <m:r>
                <m:t>g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75+ higher-for-longer (2H26/2027) — Hormuz reopening fades premium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The Q2 headline beat is rear-view — it captures peak Iran/Hormuz-shock oil prices that are already normalizing (Oman/Hormuz reopening deal, forward curve rolling over). Even with a beat and a bigger absolute buyback, the out-period math turns negative: Q3/Q4/2027 realizations and CFO estimates get cut as oil de-rates, and management's normalization-leaning macro framing plus the still-off-peak but elevated stock invite sell-the-news. Capital return can't offset a fading commodity tape, so the modest day-1 relief pop fades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2026-08-06T00:50:59Z</dcterms:created>
  <dcterms:modified xsi:type="dcterms:W3CDTF">2026-08-06T00:50:59Z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