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ConocoPhillips (COP) to prepare a thorough earnings preview. Let me gather recent financial documents, news, and price data.# ConocoPhillips (COP) Q2 2026 Earnings Preview</w:t>
      </w:r>
      <w:r>
        <w:t xml:space="preserve"> </w:t>
      </w:r>
      <w:r>
        <w:rPr>
          <w:b/>
          <w:bCs/>
        </w:rPr>
        <w:t xml:space="preserve">Report Date:</w:t>
      </w:r>
      <w:r>
        <w:t xml:space="preserve"> </w:t>
      </w:r>
      <w:r>
        <w:t xml:space="preserve">Thursday, August 6, 2026, before market open |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2026Q2 Earnings Call</w:t>
      </w:r>
    </w:p>
    <w:p>
      <w:r>
        <w:pict>
          <v:rect style="width:0;height:1.5pt" o:hralign="center" o:hrstd="t" o:hr="t"/>
        </w:pict>
      </w:r>
    </w:p>
    <w:bookmarkStart w:id="9" w:name="X340611ab981650f1d64c78ce49edfd22d9a6c03"/>
    <w:p>
      <w:pPr>
        <w:pStyle w:val="Heading2"/>
      </w:pPr>
      <w:r>
        <w:t xml:space="preserve">1. Setting the Stage</w:t>
      </w:r>
    </w:p>
    <w:p>
      <w:pPr>
        <w:pStyle w:val="FirstParagraph"/>
      </w:pPr>
      <w:r>
        <w:t xml:space="preserve">ConocoPhillips reports second-quarter results into what has been an extraordinarily volatile macro backdrop. The quarter unfolded against a Middle East conflict that disrupted Qatari LNG exports and drove crude prices to their highest levels in years, followed by a sharp de-escalation into the print. West Texas Intermediate spot prices for April and May 2026 averaged $100.32 and $102.13 per barrel, respectively, before falling to $84.81 in June — all sharply higher than the $63.54, $62.17 and</w:t>
      </w:r>
      <w:r>
        <w:t xml:space="preserve"> </w:t>
      </w:r>
      <m:oMath>
        <m:r>
          <m:t>68.17</m:t>
        </m:r>
        <m:r>
          <m:t>p</m:t>
        </m:r>
        <m:r>
          <m:t>e</m:t>
        </m:r>
        <m:r>
          <m:t>r</m:t>
        </m:r>
        <m:r>
          <m:t>b</m:t>
        </m:r>
        <m:r>
          <m:t>a</m:t>
        </m:r>
        <m:r>
          <m:t>r</m:t>
        </m:r>
        <m:r>
          <m:t>r</m:t>
        </m:r>
        <m:r>
          <m:t>e</m:t>
        </m:r>
        <m:r>
          <m:t>l</m:t>
        </m:r>
        <m:r>
          <m:t>r</m:t>
        </m:r>
        <m:r>
          <m:t>e</m:t>
        </m:r>
        <m:r>
          <m:t>p</m:t>
        </m:r>
        <m:r>
          <m:t>o</m:t>
        </m:r>
        <m:r>
          <m:t>r</m:t>
        </m:r>
        <m:r>
          <m:t>t</m:t>
        </m:r>
        <m:r>
          <m:t>e</m:t>
        </m:r>
        <m:r>
          <m:t>d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r</m:t>
        </m:r>
        <m:r>
          <m:t>r</m:t>
        </m:r>
        <m:r>
          <m:t>e</m:t>
        </m:r>
        <m:r>
          <m:t>s</m:t>
        </m:r>
        <m:r>
          <m:t>p</m:t>
        </m:r>
        <m:r>
          <m:t>o</m:t>
        </m:r>
        <m:r>
          <m:t>n</m:t>
        </m:r>
        <m:r>
          <m:t>d</m:t>
        </m:r>
        <m:r>
          <m:t>i</m:t>
        </m:r>
        <m:r>
          <m:t>n</m:t>
        </m:r>
        <m:r>
          <m:t>g</m:t>
        </m:r>
        <m:r>
          <m:t>m</m:t>
        </m:r>
        <m:r>
          <m:t>o</m:t>
        </m:r>
        <m:r>
          <m:t>n</m:t>
        </m:r>
        <m:r>
          <m:t>t</m:t>
        </m:r>
        <m:r>
          <m:t>h</m:t>
        </m:r>
        <m:r>
          <m:t>s</m:t>
        </m:r>
        <m:r>
          <m:t>o</m:t>
        </m:r>
        <m:r>
          <m:t>f</m:t>
        </m:r>
        <m:r>
          <m:t>2025</m:t>
        </m:r>
        <m:r>
          <m:rPr>
            <m:sty m:val="p"/>
          </m:rPr>
          <m:t>.</m:t>
        </m:r>
        <m:r>
          <m:t>T</m:t>
        </m:r>
        <m:r>
          <m:t>h</m:t>
        </m:r>
        <m:r>
          <m:t>a</m:t>
        </m:r>
        <m:r>
          <m:t>t</m:t>
        </m:r>
        <m:r>
          <m:t>s</m:t>
        </m:r>
        <m:r>
          <m:t>a</m:t>
        </m:r>
        <m:r>
          <m:t>i</m:t>
        </m:r>
        <m:r>
          <m:t>d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n</m:t>
        </m:r>
        <m:r>
          <m:t>f</m:t>
        </m:r>
        <m:r>
          <m:t>l</m:t>
        </m:r>
        <m:r>
          <m:t>i</m:t>
        </m:r>
        <m:r>
          <m:t>c</m:t>
        </m:r>
        <m:r>
          <m:t>t</m:t>
        </m:r>
        <m:r>
          <m:t>p</m:t>
        </m:r>
        <m:r>
          <m:t>r</m:t>
        </m:r>
        <m:r>
          <m:t>e</m:t>
        </m:r>
        <m:r>
          <m:t>m</m:t>
        </m:r>
        <m:r>
          <m:t>i</m:t>
        </m:r>
        <m:r>
          <m:t>u</m:t>
        </m:r>
        <m:r>
          <m:t>m</m:t>
        </m:r>
        <m:r>
          <m:t>h</m:t>
        </m:r>
        <m:r>
          <m:t>a</m:t>
        </m:r>
        <m:r>
          <m:t>s</m:t>
        </m:r>
        <m:r>
          <m:t>s</m:t>
        </m:r>
        <m:r>
          <m:t>i</m:t>
        </m:r>
        <m:r>
          <m:t>n</m:t>
        </m:r>
        <m:r>
          <m:t>c</m:t>
        </m:r>
        <m:r>
          <m:t>e</m:t>
        </m:r>
        <m:r>
          <m:t>d</m:t>
        </m:r>
        <m:r>
          <m:t>e</m:t>
        </m:r>
        <m:r>
          <m:t>f</m:t>
        </m:r>
        <m:r>
          <m:t>l</m:t>
        </m:r>
        <m:r>
          <m:t>a</m:t>
        </m:r>
        <m:r>
          <m:t>t</m:t>
        </m:r>
        <m:r>
          <m:t>e</m:t>
        </m:r>
        <m:r>
          <m:t>d</m:t>
        </m:r>
        <m:r>
          <m:t>m</m:t>
        </m:r>
        <m:r>
          <m:t>e</m:t>
        </m:r>
        <m:r>
          <m:t>a</m:t>
        </m:r>
        <m:r>
          <m:t>n</m:t>
        </m:r>
        <m:r>
          <m:t>i</m:t>
        </m:r>
        <m:r>
          <m:t>n</m:t>
        </m:r>
        <m:r>
          <m:t>g</m:t>
        </m:r>
        <m:r>
          <m:t>f</m:t>
        </m:r>
        <m:r>
          <m:t>u</m:t>
        </m:r>
        <m:r>
          <m:t>l</m:t>
        </m:r>
        <m:r>
          <m:t>l</m:t>
        </m:r>
        <m:r>
          <m:t>y</m:t>
        </m:r>
        <m:r>
          <m:rPr>
            <m:sty m:val="p"/>
          </m:rPr>
          <m:t>:</m:t>
        </m:r>
        <m:r>
          <m:t>c</m:t>
        </m:r>
        <m:r>
          <m:t>r</m:t>
        </m:r>
        <m:r>
          <m:t>u</m:t>
        </m:r>
        <m:r>
          <m:t>d</m:t>
        </m:r>
        <m:r>
          <m:t>e</m:t>
        </m:r>
        <m:r>
          <m:t>h</m:t>
        </m:r>
        <m:r>
          <m:t>a</m:t>
        </m:r>
        <m:r>
          <m:t>s</m:t>
        </m:r>
        <m:r>
          <m:t>f</m:t>
        </m:r>
        <m:r>
          <m:t>a</m:t>
        </m:r>
        <m:r>
          <m:t>l</m:t>
        </m:r>
        <m:r>
          <m:t>l</m:t>
        </m:r>
        <m:r>
          <m:t>e</m:t>
        </m:r>
        <m:r>
          <m:t>n</m:t>
        </m:r>
        <m:r>
          <m:t>f</m:t>
        </m:r>
        <m:r>
          <m:t>u</m:t>
        </m:r>
        <m:r>
          <m:t>r</m:t>
        </m:r>
        <m:r>
          <m:t>t</m:t>
        </m:r>
        <m:r>
          <m:t>h</m:t>
        </m:r>
        <m:r>
          <m:t>e</m:t>
        </m:r>
        <m:r>
          <m:t>r</m:t>
        </m:r>
        <m:r>
          <m:t>i</m:t>
        </m:r>
        <m:r>
          <m:t>n</m:t>
        </m:r>
        <m:r>
          <m:t>t</m:t>
        </m:r>
        <m:r>
          <m:t>o</m:t>
        </m:r>
        <m:r>
          <m:t>t</m:t>
        </m:r>
        <m:r>
          <m:t>h</m:t>
        </m:r>
        <m:r>
          <m:t>e</m:t>
        </m:r>
        <m:r>
          <m:t>p</m:t>
        </m:r>
        <m:r>
          <m:t>r</m:t>
        </m:r>
        <m:r>
          <m:t>i</m:t>
        </m:r>
        <m:r>
          <m:t>n</m:t>
        </m:r>
        <m:r>
          <m:t>t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W</m:t>
        </m:r>
        <m:r>
          <m:t>T</m:t>
        </m:r>
        <m:r>
          <m:t>I</m:t>
        </m:r>
        <m:r>
          <m:t>t</m:t>
        </m:r>
        <m:r>
          <m:t>r</m:t>
        </m:r>
        <m:r>
          <m:t>a</m:t>
        </m:r>
        <m:r>
          <m:t>d</m:t>
        </m:r>
        <m:r>
          <m:t>i</m:t>
        </m:r>
        <m:r>
          <m:t>n</m:t>
        </m:r>
        <m:r>
          <m:t>g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m</m:t>
        </m:r>
        <m:r>
          <m:t>i</m:t>
        </m:r>
        <m:r>
          <m:t>d</m:t>
        </m:r>
        <m:r>
          <m:rPr>
            <m:sty m:val="p"/>
          </m:rPr>
          <m:t>−</m:t>
        </m:r>
      </m:oMath>
      <w:r>
        <w:t xml:space="preserve">70s as of early August amid reports of progress toward a Strait of Hormuz resolution and easing US-Iran tensions. Investors should expect COP's results and guidance commentary to reflect this "spike-then-fade" price path rather than a clean, stable pricing quarter.</w:t>
      </w:r>
    </w:p>
    <w:bookmarkEnd w:id="9"/>
    <w:bookmarkStart w:id="10" w:name="X981deddc1a848b387888e6bcfbd423f5e538375"/>
    <w:p>
      <w:pPr>
        <w:pStyle w:val="Heading2"/>
      </w:pPr>
      <w:r>
        <w:t xml:space="preserve">2. What Wall Street Expects</w:t>
      </w:r>
    </w:p>
    <w:p>
      <w:pPr>
        <w:pStyle w:val="FirstParagraph"/>
      </w:pPr>
      <w:r>
        <w:t xml:space="preserve">Consensus estimates point to a dramatic year-over-year improvement, though with unusually wide dispersion given the macro noise: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EPS:</w:t>
      </w:r>
      <w:r>
        <w:t xml:space="preserve"> </w:t>
      </w:r>
      <w:r>
        <w:t xml:space="preserve">Estimates cluster around</w:t>
      </w:r>
      <w:r>
        <w:t xml:space="preserve"> </w:t>
      </w:r>
      <m:oMath>
        <m:r>
          <m:t>2.89</m:t>
        </m:r>
        <m:r>
          <m:rPr>
            <m:sty m:val="p"/>
          </m:rPr>
          <m:t>–</m:t>
        </m:r>
      </m:oMath>
      <w:r>
        <w:rPr>
          <w:b/>
          <w:bCs/>
        </w:rPr>
        <w:t xml:space="preserve">2.96</w:t>
      </w:r>
      <w:r>
        <w:t xml:space="preserve">, which would represent roughly a</w:t>
      </w:r>
      <w:r>
        <w:t xml:space="preserve"> </w:t>
      </w:r>
      <w:r>
        <w:rPr>
          <w:b/>
          <w:bCs/>
        </w:rPr>
        <w:t xml:space="preserve">103–108% increase</w:t>
      </w:r>
      <w:r>
        <w:t xml:space="preserve"> </w:t>
      </w:r>
      <w:r>
        <w:t xml:space="preserve">from the $1.42 posted in Q2 2025. One survey shows a wide range of individual estimates from $2.07 to $3.42, reflecting analyst uncertainty over how to model the mid-quarter price swings.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Estimates range from roughly</w:t>
      </w:r>
      <w:r>
        <w:t xml:space="preserve"> </w:t>
      </w:r>
      <w:r>
        <w:rPr>
          <w:b/>
          <w:bCs/>
        </w:rPr>
        <w:t xml:space="preserve">$17.5B to $19.8B</w:t>
      </w:r>
      <w:r>
        <w:t xml:space="preserve">, implying year-over-year growth of about</w:t>
      </w:r>
      <w:r>
        <w:t xml:space="preserve"> </w:t>
      </w:r>
      <w:r>
        <w:rPr>
          <w:b/>
          <w:bCs/>
        </w:rPr>
        <w:t xml:space="preserve">19–35%</w:t>
      </w:r>
      <w:r>
        <w:t xml:space="preserve"> </w:t>
      </w:r>
      <w:r>
        <w:t xml:space="preserve">depending on the source, versus $14.74B a year ago.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Estimate momentum:</w:t>
      </w:r>
      <w:r>
        <w:t xml:space="preserve"> </w:t>
      </w:r>
      <w:r>
        <w:t xml:space="preserve">Consensus EPS has actually been revised</w:t>
      </w:r>
      <w:r>
        <w:t xml:space="preserve"> </w:t>
      </w:r>
      <w:r>
        <w:rPr>
          <w:b/>
          <w:bCs/>
        </w:rPr>
        <w:t xml:space="preserve">down 13.4% over the past 30 days</w:t>
      </w:r>
      <w:r>
        <w:t xml:space="preserve"> </w:t>
      </w:r>
      <w:r>
        <w:t xml:space="preserve">even as it remains up sharply on a 90-day view (up ~15% from $2.51), suggesting analysts trimmed numbers as the oil-price retreat became apparent late in the quarter, after initially chasing the spike higher.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Track record:</w:t>
      </w:r>
      <w:r>
        <w:t xml:space="preserve"> </w:t>
      </w:r>
      <w:r>
        <w:t xml:space="preserve">COP has a strong history of beating estimates — in the last reported quarter, COP's earnings of $1.89 per share beat the Zacks Consensus Estimate of $1.73, driven by lower costs and improved operational efficiency, continuing a streak of beats in three of the last four quarters.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Sentiment is mixed heading in:</w:t>
      </w:r>
      <w:r>
        <w:t xml:space="preserve"> </w:t>
      </w:r>
      <w:r>
        <w:t xml:space="preserve">one Zacks read currently carries a negative Earnings ESP (-1.33%) and a Sell rank, reflecting caution about how the intra-quarter price collapse and unhedged exposure will net out, even as the broader sell-side skews bullish (roughly 18 Buy, 9 Hold, 1 Sell ratings) with an average price target near</w:t>
      </w:r>
      <w:r>
        <w:t xml:space="preserve"> </w:t>
      </w:r>
      <m:oMath>
        <m:r>
          <m:t>139</m:t>
        </m:r>
        <m:r>
          <m:rPr>
            <m:sty m:val="p"/>
          </m:rPr>
          <m:t>–</m:t>
        </m:r>
      </m:oMath>
      <w:r>
        <w:t xml:space="preserve">141, well above the recent ~$115–118 share price.</w:t>
      </w:r>
    </w:p>
    <w:bookmarkEnd w:id="10"/>
    <w:bookmarkStart w:id="11" w:name="Xb01064b079246a9e1af15dd72b3048d1e89968f"/>
    <w:p>
      <w:pPr>
        <w:pStyle w:val="Heading2"/>
      </w:pPr>
      <w:r>
        <w:t xml:space="preserve">3. Key Themes Carried Over From Q1</w:t>
      </w:r>
    </w:p>
    <w:p>
      <w:pPr>
        <w:pStyle w:val="FirstParagraph"/>
      </w:pPr>
      <w:r>
        <w:t xml:space="preserve">COP's Q1 2026 report and call set up several storylines that should dominate the Q2 print:</w:t>
      </w:r>
    </w:p>
    <w:p>
      <w:pPr>
        <w:pStyle w:val="BodyText"/>
      </w:pPr>
      <w:r>
        <w:rPr>
          <w:b/>
          <w:bCs/>
        </w:rPr>
        <w:t xml:space="preserve">Qatar/LNG disruption.</w:t>
      </w:r>
      <w:r>
        <w:t xml:space="preserve"> </w:t>
      </w:r>
      <w:r>
        <w:t xml:space="preserve">Management excluded Qatar entirely from Q2 production guidance due to the conflict, guiding second-quarter total production to</w:t>
      </w:r>
      <w:r>
        <w:t xml:space="preserve"> </w:t>
      </w:r>
      <w:r>
        <w:rPr>
          <w:b/>
          <w:bCs/>
        </w:rPr>
        <w:t xml:space="preserve">2.185–2.215 MMBOED</w:t>
      </w:r>
      <w:r>
        <w:t xml:space="preserve"> </w:t>
      </w:r>
      <w:r>
        <w:t xml:space="preserve">and full-year production to</w:t>
      </w:r>
      <w:r>
        <w:t xml:space="preserve"> </w:t>
      </w:r>
      <w:r>
        <w:rPr>
          <w:b/>
          <w:bCs/>
        </w:rPr>
        <w:t xml:space="preserve">2.295–2.325 MMBOED</w:t>
      </w:r>
      <w:r>
        <w:t xml:space="preserve">. The company's single Qatari asset (N3) represented only about 3% of total production and CFO, so the direct hit is contained, but investors will want an update on when Qatari volumes and the North Field East/North Field South LNG mega-projects can resume normal construction and start-up timing, which management previously flagged could slip by "months," potentially into early 2027.</w:t>
      </w:r>
    </w:p>
    <w:p>
      <w:pPr>
        <w:pStyle w:val="BodyText"/>
      </w:pPr>
      <w:r>
        <w:rPr>
          <w:b/>
          <w:bCs/>
        </w:rPr>
        <w:t xml:space="preserve">Unhedged, high-torque commodity exposure.</w:t>
      </w:r>
      <w:r>
        <w:t xml:space="preserve"> </w:t>
      </w:r>
      <w:r>
        <w:t xml:space="preserve">ConocoPhillips remains deliberately unhedged on oil and LNG, with roughly 40% of crude volumes linked to premium international markers (Brent/ICE) rather than WTI. That strategy amplified the benefit of the Q2 price spike but also means the subsequent pullback in crude will show up in realizations — a key swing factor for the actual print versus the wide consensus range.</w:t>
      </w:r>
    </w:p>
    <w:p>
      <w:pPr>
        <w:pStyle w:val="BodyText"/>
      </w:pPr>
      <w:r>
        <w:rPr>
          <w:b/>
          <w:bCs/>
        </w:rPr>
        <w:t xml:space="preserve">Cost and capital discipline.</w:t>
      </w:r>
      <w:r>
        <w:t xml:space="preserve"> </w:t>
      </w:r>
      <w:r>
        <w:t xml:space="preserve">Full-year operating cost guidance was reaffirmed at $10.2 billion (a</w:t>
      </w:r>
      <w:r>
        <w:t xml:space="preserve"> </w:t>
      </w:r>
      <m:oMath>
        <m:r>
          <m:t>400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r</m:t>
        </m:r>
        <m:r>
          <m:t>e</m:t>
        </m:r>
        <m:r>
          <m:t>d</m:t>
        </m:r>
        <m:r>
          <m:t>u</m:t>
        </m:r>
        <m:r>
          <m:t>c</m:t>
        </m:r>
        <m:r>
          <m:t>t</m:t>
        </m:r>
        <m:r>
          <m:t>i</m:t>
        </m:r>
        <m:r>
          <m:t>o</m:t>
        </m:r>
        <m:r>
          <m:t>n</m:t>
        </m:r>
        <m:r>
          <m:t>f</m:t>
        </m:r>
        <m:r>
          <m:t>r</m:t>
        </m:r>
        <m:r>
          <m:t>o</m:t>
        </m:r>
        <m:r>
          <m:t>m</m:t>
        </m:r>
        <m:r>
          <m:t>2025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e</m:t>
        </m:r>
        <m:r>
          <m:t>x</m:t>
        </m:r>
        <m:r>
          <m:t>p</m:t>
        </m:r>
        <m:r>
          <m:t>r</m:t>
        </m:r>
        <m:r>
          <m:t>e</m:t>
        </m:r>
        <m:r>
          <m:t>s</m:t>
        </m:r>
        <m:r>
          <m:t>s</m:t>
        </m:r>
        <m:r>
          <m:t>i</m:t>
        </m:r>
        <m:r>
          <m:t>n</m:t>
        </m:r>
        <m:r>
          <m:t>g</m:t>
        </m:r>
        <m:r>
          <m:t>c</m:t>
        </m:r>
        <m:r>
          <m:t>o</m:t>
        </m:r>
        <m:r>
          <m:t>n</m:t>
        </m:r>
        <m:r>
          <m:t>f</m:t>
        </m:r>
        <m:r>
          <m:t>i</m:t>
        </m:r>
        <m:r>
          <m:t>d</m:t>
        </m:r>
        <m:r>
          <m:t>e</m:t>
        </m:r>
        <m:r>
          <m:t>n</m:t>
        </m:r>
        <m:r>
          <m:t>c</m:t>
        </m:r>
        <m:r>
          <m:t>e</m:t>
        </m:r>
        <m:r>
          <m:t>i</m:t>
        </m:r>
        <m:r>
          <m:t>n</m:t>
        </m:r>
        <m:r>
          <m:t>h</m:t>
        </m:r>
        <m:r>
          <m:t>i</m:t>
        </m:r>
        <m:r>
          <m:t>t</m:t>
        </m:r>
        <m:r>
          <m:t>t</m:t>
        </m:r>
        <m:r>
          <m:t>i</m:t>
        </m:r>
        <m:r>
          <m:t>n</m:t>
        </m:r>
        <m:r>
          <m:t>g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 billion annual run-rate savings target by year-end**. Capital spending guidance was raised to</w:t>
      </w:r>
      <w:r>
        <w:t xml:space="preserve"> </w:t>
      </w:r>
      <m:oMath>
        <m:r>
          <m:t>12</m:t>
        </m:r>
        <m:r>
          <m:rPr>
            <m:sty m:val="p"/>
          </m:rPr>
          <m:t>–</m:t>
        </m:r>
      </m:oMath>
      <w:r>
        <w:rPr>
          <w:b/>
          <w:bCs/>
        </w:rPr>
        <w:t xml:space="preserve">12.5 billion</w:t>
      </w:r>
      <w:r>
        <w:t xml:space="preserve"> </w:t>
      </w:r>
      <w:r>
        <w:t xml:space="preserve">(from ~$12 billion), reflecting a modest, deliberate add of Permian activity (an incremental operated rig plus higher non-operated/OBO spend) to preserve capital efficiency into 2027 — management characterized this as a "no-brainer" continuation of steady-state drilling rather than a bet on higher prices.</w:t>
      </w:r>
    </w:p>
    <w:p>
      <w:pPr>
        <w:pStyle w:val="BodyText"/>
      </w:pPr>
      <w:r>
        <w:rPr>
          <w:b/>
          <w:bCs/>
        </w:rPr>
        <w:t xml:space="preserve">Capital returns.</w:t>
      </w:r>
      <w:r>
        <w:t xml:space="preserve"> </w:t>
      </w:r>
      <w:r>
        <w:t xml:space="preserve">COP reiterated its commitment to return</w:t>
      </w:r>
      <w:r>
        <w:t xml:space="preserve"> </w:t>
      </w:r>
      <w:r>
        <w:rPr>
          <w:b/>
          <w:bCs/>
        </w:rPr>
        <w:t xml:space="preserve">45% of cash from operations (CFO)</w:t>
      </w:r>
      <w:r>
        <w:t xml:space="preserve"> </w:t>
      </w:r>
      <w:r>
        <w:t xml:space="preserve">to shareholders in 2026 (versus a long-term ~30% floor), split between the base dividend (declared at</w:t>
      </w:r>
      <w:r>
        <w:t xml:space="preserve"> </w:t>
      </w:r>
      <m:oMath>
        <m:r>
          <m:t>0.84</m:t>
        </m:r>
        <m:r>
          <m:rPr>
            <m:sty m:val="p"/>
          </m:rPr>
          <m:t>/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f</m:t>
        </m:r>
        <m:r>
          <m:t>o</m:t>
        </m:r>
        <m:r>
          <m:t>r</m:t>
        </m:r>
        <m:r>
          <m:t>Q</m:t>
        </m:r>
        <m:r>
          <m:t>2</m:t>
        </m:r>
        <m:r>
          <m:rPr>
            <m:sty m:val="p"/>
          </m:rPr>
          <m:t>)</m:t>
        </m:r>
        <m:r>
          <m:t>a</m:t>
        </m:r>
        <m:r>
          <m:t>n</m:t>
        </m:r>
        <m:r>
          <m:t>d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t>s</m:t>
        </m:r>
        <m:r>
          <m:rPr>
            <m:sty m:val="p"/>
          </m:rPr>
          <m:t>(</m:t>
        </m:r>
        <m:r>
          <m:t> </m:t>
        </m:r>
      </m:oMath>
      <w:r>
        <w:t xml:space="preserve">1B/quarter recently). With CFO tracking materially higher than initial 2026 plans given the price torque, watch for confirmation of continued elevated buyback pace and any capital-return updates on the call.</w:t>
      </w:r>
    </w:p>
    <w:p>
      <w:pPr>
        <w:pStyle w:val="BodyText"/>
      </w:pPr>
      <w:r>
        <w:rPr>
          <w:b/>
          <w:bCs/>
        </w:rPr>
        <w:t xml:space="preserve">Strategic projects on track.</w:t>
      </w:r>
      <w:r>
        <w:t xml:space="preserve"> </w:t>
      </w:r>
      <w:r>
        <w:t xml:space="preserve">The Willow project in Alaska reached</w:t>
      </w:r>
      <w:r>
        <w:t xml:space="preserve"> </w:t>
      </w:r>
      <w:r>
        <w:rPr>
          <w:b/>
          <w:bCs/>
        </w:rPr>
        <w:t xml:space="preserve">50% completion</w:t>
      </w:r>
      <w:r>
        <w:t xml:space="preserve"> </w:t>
      </w:r>
      <w:r>
        <w:t xml:space="preserve">after a successful winter construction season, still targeted for first oil in 2029 as part of the company's</w:t>
      </w:r>
      <w:r>
        <w:t xml:space="preserve"> </w:t>
      </w:r>
      <w:r>
        <w:rPr>
          <w:b/>
          <w:bCs/>
        </w:rPr>
        <w:t xml:space="preserve">$7 billion free cash flow inflection by 2029</w:t>
      </w:r>
      <w:r>
        <w:t xml:space="preserve"> </w:t>
      </w:r>
      <w:r>
        <w:t xml:space="preserve">thesis. Port Arthur LNG Phase 1 remains on track for first LNG in 2027. COP also signed a third-party tolling agreement extending the life of its Equatorial Guinea LNG facility into the 2030s, and management has argued the Qatar-driven LNG disruption reinforces a structural, multi-year tightening in global LNG that should support pricing on COP's uncontracted/spot exposure.</w:t>
      </w:r>
    </w:p>
    <w:bookmarkEnd w:id="11"/>
    <w:bookmarkStart w:id="12" w:name="X74ab561429ccc84dc0b77fd955ad3fdaf52f71e"/>
    <w:p>
      <w:pPr>
        <w:pStyle w:val="Heading2"/>
      </w:pPr>
      <w:r>
        <w:t xml:space="preserve">4. Peer Read-Throughs Ahead of the Print</w:t>
      </w:r>
    </w:p>
    <w:p>
      <w:pPr>
        <w:pStyle w:val="FirstParagraph"/>
      </w:pPr>
      <w:r>
        <w:t xml:space="preserve">Peers that have already reported Q2 results have generally confirmed a strong pricing/margin quarter, though with some crosscurrents:</w:t>
      </w:r>
    </w:p>
    <w:p>
      <w:pPr>
        <w:pStyle w:val="Compact"/>
        <w:numPr>
          <w:ilvl w:val="0"/>
          <w:numId w:val="1002"/>
        </w:numPr>
      </w:pPr>
      <w:r>
        <w:t xml:space="preserve">Chevron reported a quarterly record of $12.1 billion, and ExxonMobil's $14.5 billion nearly doubled last year's second quarter profit amid the Iran war, underscoring the scale of the upstream price tailwind during the quarter.</w:t>
      </w:r>
    </w:p>
    <w:p>
      <w:pPr>
        <w:pStyle w:val="Compact"/>
        <w:numPr>
          <w:ilvl w:val="0"/>
          <w:numId w:val="1002"/>
        </w:numPr>
      </w:pPr>
      <w:r>
        <w:t xml:space="preserve">Phillips 66's refining segment posted a nearly fourfold profit jump as the Middle East conflict boosted U.S. refining margins, with adjusted earnings of $3.09 billion, up from $392 million a year earlier and realized margin more than doubling to $24.08 per barrel.</w:t>
      </w:r>
    </w:p>
    <w:p>
      <w:pPr>
        <w:pStyle w:val="Compact"/>
        <w:numPr>
          <w:ilvl w:val="0"/>
          <w:numId w:val="1002"/>
        </w:numPr>
      </w:pPr>
      <w:r>
        <w:t xml:space="preserve">BP reported underlying earnings of $5.7 billion for the quarter, $2.5 billion higher than the first quarter of the year, though management flagged an elevated balance-sheet burden as an ongoing concern.</w:t>
      </w:r>
    </w:p>
    <w:p>
      <w:pPr>
        <w:pStyle w:val="Compact"/>
        <w:numPr>
          <w:ilvl w:val="0"/>
          <w:numId w:val="1002"/>
        </w:numPr>
      </w:pPr>
      <w:r>
        <w:t xml:space="preserve">On the upstream E&amp;P peer set specifically, ExxonMobil delivered strong revenue growth versus estimates, while Devon Energy topped both revenue growth and estimates by a wide margin — a generally encouraging signal for COP's own upstream-heavy revenue line, though COP's Qatar exclusion and unhedged Brent/WTI mix make its result less directly comparable.</w:t>
      </w:r>
    </w:p>
    <w:bookmarkEnd w:id="12"/>
    <w:bookmarkStart w:id="13" w:name="X999f0e9a8dea35af0263fac0a7eb4f940692498"/>
    <w:p>
      <w:pPr>
        <w:pStyle w:val="Heading2"/>
      </w:pPr>
      <w:r>
        <w:t xml:space="preserve">5. Stock Performance and Valuation Context</w:t>
      </w:r>
    </w:p>
    <w:p>
      <w:pPr>
        <w:pStyle w:val="FirstParagraph"/>
      </w:pPr>
      <w:r>
        <w:t xml:space="preserve">COP shares have been volatile through the quarter, tracking the oil-price swings: the stock ran from roughly $128 in early April up toward $131 mid-month, sold off into the $104–114 range through May–July as the conflict premium and subsequent easing whipsawed sentiment, then rallied back above $120 in late July before slipping to the $115–119 area heading into the print — broadly in line with the round-trip in crude prices. The 52-week range is roughly</w:t>
      </w:r>
      <w:r>
        <w:t xml:space="preserve"> </w:t>
      </w:r>
      <m:oMath>
        <m:r>
          <m:t>85.57</m:t>
        </m:r>
        <m:r>
          <m:rPr>
            <m:sty m:val="p"/>
          </m:rPr>
          <m:t>–</m:t>
        </m:r>
      </m:oMath>
      <w:r>
        <w:t xml:space="preserve">135.87, with a market cap near $144 billion and a trailing P/E near 20x. Sell-side price targets have generally been raised through the quarter (e.g., Barclays to $155, Jefferies to $161), leaving the stock trading at a notable discount to the average target in the $139–141 range — though the dispersion of ratings (and one prominent Sell-leaning quant score) suggests the market is not fully convinced the current cycle-high estimates are durable.</w:t>
      </w:r>
    </w:p>
    <w:bookmarkEnd w:id="13"/>
    <w:bookmarkStart w:id="14" w:name="X9e77b38b5b2921246e29ba03e3fee82aebc802a"/>
    <w:p>
      <w:pPr>
        <w:pStyle w:val="Heading2"/>
      </w:pPr>
      <w:r>
        <w:t xml:space="preserve">6. What Could Move the Stock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Beat/miss on realized pricing</w:t>
      </w:r>
      <w:r>
        <w:t xml:space="preserve"> </w:t>
      </w:r>
      <w:r>
        <w:t xml:space="preserve">given the unhedged book and the sharp intra-quarter reversal in Brent/WTI — the actual realized price mix (and Q1's noted lag between cash and earnings recognition on international volumes) could easily push results toward either end of the wide consensus range.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Any update on Qatar/NFE-NFS timing</w:t>
      </w:r>
      <w:r>
        <w:t xml:space="preserve"> </w:t>
      </w:r>
      <w:r>
        <w:t xml:space="preserve">— clarity (or lack thereof) on when Qatari production and LNG mega-project construction normalize will matter more for 2027 estimates than for Q2 itself.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Capital return commentary</w:t>
      </w:r>
      <w:r>
        <w:t xml:space="preserve"> </w:t>
      </w:r>
      <w:r>
        <w:t xml:space="preserve">— confirmation that the 45%-of-CFO framework and buyback pace are being maintained (or increased) given higher-than-planned cash generation.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Cost-cutting cadence</w:t>
      </w:r>
      <w:r>
        <w:t xml:space="preserve"> </w:t>
      </w:r>
      <w:r>
        <w:t xml:space="preserve">— progress toward the $1 billion run-rate savings target and whether full-year opex guidance gets revised down.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Permian OBO/non-operated activity</w:t>
      </w:r>
      <w:r>
        <w:t xml:space="preserve"> </w:t>
      </w:r>
      <w:r>
        <w:t xml:space="preserve">— any further additions to the second-half capital program beyond the already-flagged $250 million increase.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Macro framing</w:t>
      </w:r>
      <w:r>
        <w:t xml:space="preserve"> </w:t>
      </w:r>
      <w:r>
        <w:t xml:space="preserve">— management's updated view of "mid-cycle" oil and LNG price assumptions, given Ryan Lance's Q1 comment that the conflict likely raises the long-term price floor versus the prior ~$65 WTI mid-cycle assumption.</w:t>
      </w:r>
    </w:p>
    <w:bookmarkEnd w:id="14"/>
    <w:bookmarkStart w:id="15" w:name="X7a3bbf556adfc11a6000f5b234b318bdc6ae48e"/>
    <w:p>
      <w:pPr>
        <w:pStyle w:val="Heading2"/>
      </w:pPr>
      <w:r>
        <w:t xml:space="preserve">7. Bottom Line</w:t>
      </w:r>
    </w:p>
    <w:p>
      <w:pPr>
        <w:pStyle w:val="FirstParagraph"/>
      </w:pPr>
      <w:r>
        <w:t xml:space="preserve">Heading into Thursday's print, COP is set up for a headline "beat" on a year-over-year basis almost by default, given how depressed Q2 2025 comps were and how sharply oil and LNG prices spiked mid-quarter. The more important story for investors is likely to be</w:t>
      </w:r>
      <w:r>
        <w:t xml:space="preserve"> </w:t>
      </w:r>
      <w:r>
        <w:rPr>
          <w:b/>
          <w:bCs/>
        </w:rPr>
        <w:t xml:space="preserve">quality of guidance and cash-return commentary</w:t>
      </w:r>
      <w:r>
        <w:t xml:space="preserve"> </w:t>
      </w:r>
      <w:r>
        <w:t xml:space="preserve">rather than the EPS number itself: how much of the price spike converted to cash given COP's unhedged, Brent/ICE-linked exposure; whether Qatar/NFE-NFS disruption risk is stabilizing or worsening; and whether management reaffirms its 45%-of-CFO shareholder return commitment and $7 billion 2029 free-cash-flow inflection thesis (Willow, Port Arthur, cost cuts) as the oil-price tailwind that inflated Q2 numbers already appears to be fading into Q3.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2026-08-06T00:52:39Z</dcterms:created>
  <dcterms:modified xsi:type="dcterms:W3CDTF">2026-08-06T00:52:39Z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