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148486d0a4450acbf55a60a66fe6b5d478b859f"/>
    <w:p>
      <w:pPr>
        <w:pStyle w:val="Heading1"/>
      </w:pPr>
      <w:r>
        <w:t xml:space="preserve">ConocoPhillips (COP) — 2Q26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ConocoPhillips is scheduled to release results</w:t>
      </w:r>
      <w:r>
        <w:t xml:space="preserve"> </w:t>
      </w:r>
      <w:r>
        <w:rPr>
          <w:b/>
          <w:bCs/>
        </w:rPr>
        <w:t xml:space="preserve">before the market opens on Thursday, August 6, 2026</w:t>
      </w:r>
      <w:r>
        <w:t xml:space="preserve">, followed by its conference call at</w:t>
      </w:r>
      <w:r>
        <w:t xml:space="preserve"> </w:t>
      </w:r>
      <w:r>
        <w:rPr>
          <w:b/>
          <w:bCs/>
        </w:rPr>
        <w:t xml:space="preserve">12:00 p.m. Eastern</w:t>
      </w:r>
      <w:r>
        <w:t xml:space="preserve">. Given the stated current date, the report is due</w:t>
      </w:r>
      <w:r>
        <w:t xml:space="preserve"> </w:t>
      </w:r>
      <w:r>
        <w:rPr>
          <w:b/>
          <w:bCs/>
        </w:rPr>
        <w:t xml:space="preserve">today, not tomorrow</w:t>
      </w:r>
      <w:r>
        <w:t xml:space="preserve">. (</w:t>
      </w:r>
      <w:hyperlink r:id="rId9">
        <w:r>
          <w:rPr>
            <w:rStyle w:val="Hyperlink"/>
          </w:rPr>
          <w:t xml:space="preserve">conocophillips.com</w:t>
        </w:r>
      </w:hyperlink>
      <w:r>
        <w:t xml:space="preserve">)</w:t>
      </w:r>
    </w:p>
    <w:bookmarkStart w:id="11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COP should report a</w:t>
      </w:r>
      <w:r>
        <w:t xml:space="preserve"> </w:t>
      </w:r>
      <w:r>
        <w:rPr>
          <w:b/>
          <w:bCs/>
        </w:rPr>
        <w:t xml:space="preserve">substantial sequential and year-over-year earnings increase</w:t>
      </w:r>
      <w:r>
        <w:t xml:space="preserve">, driven primarily by sharply higher oil and LNG prices. Public consensus snapshots center around</w:t>
      </w:r>
      <w:r>
        <w:t xml:space="preserve"> </w:t>
      </w:r>
      <m:oMath>
        <m:r>
          <m:t>2.90</m:t>
        </m:r>
        <m:r>
          <m:rPr>
            <m:sty m:val="p"/>
          </m:rPr>
          <m:t>–</m:t>
        </m:r>
      </m:oMath>
      <w:r>
        <w:rPr>
          <w:b/>
          <w:bCs/>
        </w:rPr>
        <w:t xml:space="preserve">2.96 of adjusted EPS</w:t>
      </w:r>
      <w:r>
        <w:t xml:space="preserve"> </w:t>
      </w:r>
      <w:r>
        <w:t xml:space="preserve">and approximately</w:t>
      </w:r>
      <w:r>
        <w:t xml:space="preserve"> </w:t>
      </w:r>
      <w:r>
        <w:rPr>
          <w:b/>
          <w:bCs/>
        </w:rPr>
        <w:t xml:space="preserve">$19 billion of revenue</w:t>
      </w:r>
      <w:r>
        <w:t xml:space="preserve">, versus $1.89 of adjusted EPS in 1Q26 and $1.42 in 2Q25. (</w:t>
      </w:r>
      <w:hyperlink r:id="rId10">
        <w:r>
          <w:rPr>
            <w:rStyle w:val="Hyperlink"/>
          </w:rPr>
          <w:t xml:space="preserve">barchart.com</w:t>
        </w:r>
      </w:hyperlink>
      <w:r>
        <w:t xml:space="preserve">)</w:t>
      </w:r>
    </w:p>
    <w:p>
      <w:pPr>
        <w:pStyle w:val="BodyText"/>
      </w:pPr>
      <w:r>
        <w:t xml:space="preserve">But the headline EPS comparison is not the main issue. Higher commodity prices make a strong quarter widely expected. The stock’s reaction is more likely to depend on: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Production and cash conversion despite the Qatar shutdown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Qatar volumes can return in 3Q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pace of share repurchases under COP’s 45%-of-CFO return objective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higher prices lead to additional capital spending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Progress on cost reductions and the possibility of lower operating-cost guidance</w:t>
      </w:r>
    </w:p>
    <w:p>
      <w:pPr>
        <w:pStyle w:val="FirstParagraph"/>
      </w:pPr>
      <w:r>
        <w:t xml:space="preserve">The cleanest positive result would combine a strong earnings and cash-flow print with</w:t>
      </w:r>
      <w:r>
        <w:t xml:space="preserve"> </w:t>
      </w:r>
      <w:r>
        <w:rPr>
          <w:b/>
          <w:bCs/>
        </w:rPr>
        <w:t xml:space="preserve">unchanged capital discipline, an accelerating buyback and improving Qatar visibility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1"/>
    <w:bookmarkStart w:id="13" w:name="earnings-scorecard"/>
    <w:p>
      <w:pPr>
        <w:pStyle w:val="Heading2"/>
      </w:pPr>
      <w:r>
        <w:t xml:space="preserve">Earnings scorecard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Reference point going into the report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 consensus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Approximately</w:t>
            </w:r>
            <w:r>
              <w:rPr>
                <w:b/>
                <w:bCs/>
              </w:rPr>
              <w:t xml:space="preserve"> </w:t>
            </w:r>
            <m:oMath>
              <m:r>
                <m:t>2.90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1Q26 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$1.89</w:t>
            </w:r>
          </w:p>
        </w:tc>
      </w:tr>
      <w:tr>
        <w:tc>
          <w:tcPr/>
          <w:p>
            <w:pPr>
              <w:pStyle w:val="Compact"/>
            </w:pPr>
            <w:r>
              <w:t xml:space="preserve">2Q25 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$1.42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2Q26 production guidance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2.185–2.215 MMBOED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1Q26 production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2.309 MMBOED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production guidance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2.295–2.325 MMBOED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capital guidance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12.0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12.5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adjusted operating-cost guidance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$10.2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Ordinary quarterly dividend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$0.84 per share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 shareholder-return objective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45% of CFO</w:t>
            </w:r>
          </w:p>
        </w:tc>
      </w:tr>
    </w:tbl>
    <w:p>
      <w:pPr>
        <w:pStyle w:val="BodyText"/>
      </w:pPr>
      <w:r>
        <w:t xml:space="preserve">COP excluded Qatar entirely from its 2Q production guidance because of uncertainty surrounding the Middle East conflict. The full-year outlook also included a 20 MBOED adjustment for Qatar and a 15 MBOED royalty adjustment at Surmont caused by higher oil prices. (</w:t>
      </w:r>
      <w:hyperlink r:id="rId12">
        <w:r>
          <w:rPr>
            <w:rStyle w:val="Hyperlink"/>
          </w:rPr>
          <w:t xml:space="preserve">conocophillips.gcs-web.com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3"/>
    <w:bookmarkStart w:id="18" w:name="Xf542847c67fc0a857214bacc7b7bc96222c2fad"/>
    <w:p>
      <w:pPr>
        <w:pStyle w:val="Heading2"/>
      </w:pPr>
      <w:r>
        <w:t xml:space="preserve">1. Commodity prices should overwhelm the volume decline</w:t>
      </w:r>
    </w:p>
    <w:p>
      <w:pPr>
        <w:pStyle w:val="FirstParagraph"/>
      </w:pPr>
      <w:r>
        <w:t xml:space="preserve">The earnings tailwind is straightforward: benchmark Brent averaged approximately</w:t>
      </w:r>
      <w:r>
        <w:t xml:space="preserve"> </w:t>
      </w:r>
      <w:r>
        <w:rPr>
          <w:b/>
          <w:bCs/>
        </w:rPr>
        <w:t xml:space="preserve">$96.68 per barrel in 2Q26</w:t>
      </w:r>
      <w:r>
        <w:t xml:space="preserve">, around 23% higher sequentially. COP should benefit disproportionately because it remains unhedged on oil and LNG and has meaningful exposure to Brent-linked and Alaska North Slope pricing. (</w:t>
      </w:r>
      <w:hyperlink r:id="rId14">
        <w:r>
          <w:rPr>
            <w:rStyle w:val="Hyperlink"/>
          </w:rPr>
          <w:t xml:space="preserve">investing.com</w:t>
        </w:r>
      </w:hyperlink>
      <w:r>
        <w:t xml:space="preserve">)</w:t>
      </w:r>
    </w:p>
    <w:p>
      <w:pPr>
        <w:pStyle w:val="BodyText"/>
      </w:pPr>
      <w:r>
        <w:t xml:space="preserve">That should more than offset the expected production decline:</w:t>
      </w:r>
    </w:p>
    <w:p>
      <w:pPr>
        <w:pStyle w:val="Compact"/>
        <w:numPr>
          <w:ilvl w:val="0"/>
          <w:numId w:val="1002"/>
        </w:numPr>
      </w:pPr>
      <w:r>
        <w:t xml:space="preserve">The midpoint of 2Q guidance is</w:t>
      </w:r>
      <w:r>
        <w:t xml:space="preserve"> </w:t>
      </w:r>
      <w:r>
        <w:rPr>
          <w:b/>
          <w:bCs/>
        </w:rPr>
        <w:t xml:space="preserve">2.200 MMBOED</w:t>
      </w:r>
    </w:p>
    <w:p>
      <w:pPr>
        <w:pStyle w:val="Compact"/>
        <w:numPr>
          <w:ilvl w:val="0"/>
          <w:numId w:val="1002"/>
        </w:numPr>
      </w:pPr>
      <w:r>
        <w:t xml:space="preserve">That implies a decline of roughly</w:t>
      </w:r>
      <w:r>
        <w:t xml:space="preserve"> </w:t>
      </w:r>
      <w:r>
        <w:rPr>
          <w:b/>
          <w:bCs/>
        </w:rPr>
        <w:t xml:space="preserve">5% from 1Q26</w:t>
      </w:r>
    </w:p>
    <w:p>
      <w:pPr>
        <w:pStyle w:val="Compact"/>
        <w:numPr>
          <w:ilvl w:val="0"/>
          <w:numId w:val="1002"/>
        </w:numPr>
      </w:pPr>
      <w:r>
        <w:t xml:space="preserve">It is also about</w:t>
      </w:r>
      <w:r>
        <w:t xml:space="preserve"> </w:t>
      </w:r>
      <w:r>
        <w:rPr>
          <w:b/>
          <w:bCs/>
        </w:rPr>
        <w:t xml:space="preserve">8% below 2Q25 reported production</w:t>
      </w:r>
      <w:r>
        <w:t xml:space="preserve">, although dispositions and Qatar make the comparison less informative</w:t>
      </w:r>
    </w:p>
    <w:p>
      <w:pPr>
        <w:pStyle w:val="FirstParagraph"/>
      </w:pPr>
      <w:r>
        <w:t xml:space="preserve">Investors should focus on</w:t>
      </w:r>
      <w:r>
        <w:t xml:space="preserve"> </w:t>
      </w:r>
      <w:r>
        <w:rPr>
          <w:b/>
          <w:bCs/>
        </w:rPr>
        <w:t xml:space="preserve">realized price per BOE</w:t>
      </w:r>
      <w:r>
        <w:t xml:space="preserve">, not merely benchmark prices. In 1Q, COP’s total realized price was $50.36 per BOE. The size and timing of its 2Q uplift will indicate how effectively the portfolio captured premium physical markets and LNG pricing. (</w:t>
      </w:r>
      <w:hyperlink r:id="rId15">
        <w:r>
          <w:rPr>
            <w:rStyle w:val="Hyperlink"/>
          </w:rPr>
          <w:t xml:space="preserve">conocophillips.com</w:t>
        </w:r>
      </w:hyperlink>
      <w:r>
        <w:t xml:space="preserve">)</w:t>
      </w:r>
    </w:p>
    <w:bookmarkStart w:id="16" w:name="what-would-be-encouraging"/>
    <w:p>
      <w:pPr>
        <w:pStyle w:val="Heading3"/>
      </w:pPr>
      <w:r>
        <w:t xml:space="preserve">What would be encouraging</w:t>
      </w:r>
    </w:p>
    <w:p>
      <w:pPr>
        <w:pStyle w:val="Compact"/>
        <w:numPr>
          <w:ilvl w:val="0"/>
          <w:numId w:val="1003"/>
        </w:numPr>
      </w:pPr>
      <w:r>
        <w:t xml:space="preserve">Production at or above the</w:t>
      </w:r>
      <w:r>
        <w:t xml:space="preserve"> </w:t>
      </w:r>
      <w:r>
        <w:rPr>
          <w:b/>
          <w:bCs/>
        </w:rPr>
        <w:t xml:space="preserve">2.215 MMBOED high end</w:t>
      </w:r>
    </w:p>
    <w:p>
      <w:pPr>
        <w:pStyle w:val="Compact"/>
        <w:numPr>
          <w:ilvl w:val="0"/>
          <w:numId w:val="1003"/>
        </w:numPr>
      </w:pPr>
      <w:r>
        <w:t xml:space="preserve">Strong oil realizations relative to WTI and Brent</w:t>
      </w:r>
    </w:p>
    <w:p>
      <w:pPr>
        <w:pStyle w:val="Compact"/>
        <w:numPr>
          <w:ilvl w:val="0"/>
          <w:numId w:val="1003"/>
        </w:numPr>
      </w:pPr>
      <w:r>
        <w:t xml:space="preserve">CFO rising at least in line with adjusted earnings</w:t>
      </w:r>
    </w:p>
    <w:p>
      <w:pPr>
        <w:pStyle w:val="Compact"/>
        <w:numPr>
          <w:ilvl w:val="0"/>
          <w:numId w:val="1003"/>
        </w:numPr>
      </w:pPr>
      <w:r>
        <w:t xml:space="preserve">No unexpected downtime outside Qatar</w:t>
      </w:r>
    </w:p>
    <w:bookmarkEnd w:id="16"/>
    <w:bookmarkStart w:id="17" w:name="potential-disappointment"/>
    <w:p>
      <w:pPr>
        <w:pStyle w:val="Heading3"/>
      </w:pPr>
      <w:r>
        <w:t xml:space="preserve">Potential disappointment</w:t>
      </w:r>
    </w:p>
    <w:p>
      <w:pPr>
        <w:pStyle w:val="FirstParagraph"/>
      </w:pPr>
      <w:r>
        <w:t xml:space="preserve">A headline EPS beat accompanied by weak cash flow could reflect working-capital timing or delayed collection of higher-priced cargoes. Given the unusually volatile physical market,</w:t>
      </w:r>
      <w:r>
        <w:t xml:space="preserve"> </w:t>
      </w:r>
      <w:r>
        <w:rPr>
          <w:b/>
          <w:bCs/>
        </w:rPr>
        <w:t xml:space="preserve">cash conversion may matter more than a few cents of EPS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Xb62b19c3873bdf1a017c9596b1cf415fd90d178"/>
    <w:p>
      <w:pPr>
        <w:pStyle w:val="Heading2"/>
      </w:pPr>
      <w:r>
        <w:t xml:space="preserve">2. Qatar is the quarter’s biggest operational and guidance swing factor</w:t>
      </w:r>
    </w:p>
    <w:p>
      <w:pPr>
        <w:pStyle w:val="FirstParagraph"/>
      </w:pPr>
      <w:r>
        <w:t xml:space="preserve">COP’s producing Qatar asset historically contributed approximately</w:t>
      </w:r>
      <w:r>
        <w:t xml:space="preserve"> </w:t>
      </w:r>
      <w:r>
        <w:rPr>
          <w:b/>
          <w:bCs/>
        </w:rPr>
        <w:t xml:space="preserve">80 MBOED</w:t>
      </w:r>
      <w:r>
        <w:t xml:space="preserve">, or roughly 3% of company production. Management excluded it from 2Q guidance after operations were curtailed, while construction on the North Field East and North Field South expansions continued with some disruption.</w:t>
      </w:r>
    </w:p>
    <w:p>
      <w:pPr>
        <w:pStyle w:val="BodyText"/>
      </w:pPr>
      <w:r>
        <w:t xml:space="preserve">The critical questions are now forward-looking:</w:t>
      </w:r>
    </w:p>
    <w:p>
      <w:pPr>
        <w:pStyle w:val="Compact"/>
        <w:numPr>
          <w:ilvl w:val="0"/>
          <w:numId w:val="1004"/>
        </w:numPr>
      </w:pPr>
      <w:r>
        <w:t xml:space="preserve">Has existing Qatar production resumed, or when is it expected to resume?</w:t>
      </w:r>
    </w:p>
    <w:p>
      <w:pPr>
        <w:pStyle w:val="Compact"/>
        <w:numPr>
          <w:ilvl w:val="0"/>
          <w:numId w:val="1004"/>
        </w:numPr>
      </w:pPr>
      <w:r>
        <w:t xml:space="preserve">What should investors assume for Qatar production in 3Q?</w:t>
      </w:r>
    </w:p>
    <w:p>
      <w:pPr>
        <w:pStyle w:val="Compact"/>
        <w:numPr>
          <w:ilvl w:val="0"/>
          <w:numId w:val="1004"/>
        </w:numPr>
      </w:pPr>
      <w:r>
        <w:t xml:space="preserve">Are NFE and NFS still delayed only by months?</w:t>
      </w:r>
    </w:p>
    <w:p>
      <w:pPr>
        <w:pStyle w:val="Compact"/>
        <w:numPr>
          <w:ilvl w:val="0"/>
          <w:numId w:val="1004"/>
        </w:numPr>
      </w:pPr>
      <w:r>
        <w:t xml:space="preserve">Has the expected start-up of NFE shifted from late 2026 into 2027?</w:t>
      </w:r>
    </w:p>
    <w:p>
      <w:pPr>
        <w:pStyle w:val="Compact"/>
        <w:numPr>
          <w:ilvl w:val="0"/>
          <w:numId w:val="1004"/>
        </w:numPr>
      </w:pPr>
      <w:r>
        <w:t xml:space="preserve">How does the construction schedule affect 2026 capital spending?</w:t>
      </w:r>
    </w:p>
    <w:p>
      <w:pPr>
        <w:pStyle w:val="Compact"/>
        <w:numPr>
          <w:ilvl w:val="0"/>
          <w:numId w:val="1004"/>
        </w:numPr>
      </w:pPr>
      <w:r>
        <w:t xml:space="preserve">Are there any repair, insurance or commercial-contract implications?</w:t>
      </w:r>
    </w:p>
    <w:p>
      <w:pPr>
        <w:pStyle w:val="FirstParagraph"/>
      </w:pPr>
      <w:r>
        <w:t xml:space="preserve">The market is likely to tolerate weak 2Q Qatar volumes—they were already removed from guidance. It will be less tolerant of</w:t>
      </w:r>
      <w:r>
        <w:t xml:space="preserve"> </w:t>
      </w:r>
      <w:r>
        <w:rPr>
          <w:b/>
          <w:bCs/>
        </w:rPr>
        <w:t xml:space="preserve">another full quarter of excluded volumes without clearer restart visibility</w:t>
      </w:r>
      <w:r>
        <w:t xml:space="preserve">.</w:t>
      </w:r>
    </w:p>
    <w:p>
      <w:pPr>
        <w:pStyle w:val="BodyText"/>
      </w:pPr>
      <w:r>
        <w:t xml:space="preserve">A credible Qatar restart could allow COP to maintain or potentially improve its full-year production outlook. Conversely, continued disruption could put the low end of</w:t>
      </w:r>
      <w:r>
        <w:t xml:space="preserve"> </w:t>
      </w:r>
      <w:r>
        <w:rPr>
          <w:b/>
          <w:bCs/>
        </w:rPr>
        <w:t xml:space="preserve">2.295–2.325 MMBOED</w:t>
      </w:r>
      <w:r>
        <w:t xml:space="preserve"> </w:t>
      </w:r>
      <w:r>
        <w:t xml:space="preserve">at risk.</w:t>
      </w:r>
    </w:p>
    <w:p>
      <w:r>
        <w:pict>
          <v:rect style="width:0;height:1.5pt" o:hralign="center" o:hrstd="t" o:hr="t"/>
        </w:pict>
      </w:r>
    </w:p>
    <w:bookmarkEnd w:id="19"/>
    <w:bookmarkStart w:id="21" w:name="X69a4b6e882525da8251f9e85006ad20c7414ca1"/>
    <w:p>
      <w:pPr>
        <w:pStyle w:val="Heading2"/>
      </w:pPr>
      <w:r>
        <w:t xml:space="preserve">3. Higher prices must not turn into undisciplined spending</w:t>
      </w:r>
    </w:p>
    <w:p>
      <w:pPr>
        <w:pStyle w:val="FirstParagraph"/>
      </w:pPr>
      <w:r>
        <w:t xml:space="preserve">COP raised its 2026 capital range to</w:t>
      </w:r>
      <w:r>
        <w:t xml:space="preserve"> </w:t>
      </w:r>
      <m:oMath>
        <m:r>
          <m:t>12.0</m:t>
        </m:r>
        <m:r>
          <m:rPr>
            <m:sty m:val="p"/>
          </m:rPr>
          <m:t>–</m:t>
        </m:r>
      </m:oMath>
      <w:r>
        <w:rPr>
          <w:b/>
          <w:bCs/>
        </w:rPr>
        <w:t xml:space="preserve">12.5 billion</w:t>
      </w:r>
      <w:r>
        <w:t xml:space="preserve"> </w:t>
      </w:r>
      <w:r>
        <w:t xml:space="preserve">in April, primarily because it added a Permian rig to match improving completion efficiency and expected more non-operated activity. Management emphasized that this was intended to preserve operating continuity—not a wholesale response to higher commodity prices. (</w:t>
      </w:r>
      <w:hyperlink r:id="rId15">
        <w:r>
          <w:rPr>
            <w:rStyle w:val="Hyperlink"/>
          </w:rPr>
          <w:t xml:space="preserve">conocophillips.com</w:t>
        </w:r>
      </w:hyperlink>
      <w:r>
        <w:t xml:space="preserve">)</w:t>
      </w:r>
    </w:p>
    <w:p>
      <w:pPr>
        <w:pStyle w:val="BodyText"/>
      </w:pPr>
      <w:r>
        <w:t xml:space="preserve">That distinction will be tested on this call.</w:t>
      </w:r>
    </w:p>
    <w:bookmarkStart w:id="20" w:name="key-items-to-monitor"/>
    <w:p>
      <w:pPr>
        <w:pStyle w:val="Heading3"/>
      </w:pPr>
      <w:r>
        <w:t xml:space="preserve">Key items to monitor</w:t>
      </w:r>
    </w:p>
    <w:p>
      <w:pPr>
        <w:pStyle w:val="Compact"/>
        <w:numPr>
          <w:ilvl w:val="0"/>
          <w:numId w:val="1005"/>
        </w:numPr>
      </w:pPr>
      <w:r>
        <w:t xml:space="preserve">Whether capital guidance remains within</w:t>
      </w:r>
      <w:r>
        <w:t xml:space="preserve"> </w:t>
      </w:r>
      <m:oMath>
        <m:r>
          <m:t>12.0</m:t>
        </m:r>
        <m:r>
          <m:rPr>
            <m:sty m:val="p"/>
          </m:rPr>
          <m:t>–</m:t>
        </m:r>
      </m:oMath>
      <w:r>
        <w:t xml:space="preserve">12.5 billion</w:t>
      </w:r>
    </w:p>
    <w:p>
      <w:pPr>
        <w:pStyle w:val="Compact"/>
        <w:numPr>
          <w:ilvl w:val="0"/>
          <w:numId w:val="1005"/>
        </w:numPr>
      </w:pPr>
      <w:r>
        <w:t xml:space="preserve">Whether more non-operated well ballots are increasing spending</w:t>
      </w:r>
    </w:p>
    <w:p>
      <w:pPr>
        <w:pStyle w:val="Compact"/>
        <w:numPr>
          <w:ilvl w:val="0"/>
          <w:numId w:val="1005"/>
        </w:numPr>
      </w:pPr>
      <w:r>
        <w:t xml:space="preserve">Whether service-cost inflation is emerging</w:t>
      </w:r>
    </w:p>
    <w:p>
      <w:pPr>
        <w:pStyle w:val="Compact"/>
        <w:numPr>
          <w:ilvl w:val="0"/>
          <w:numId w:val="1005"/>
        </w:numPr>
      </w:pPr>
      <w:r>
        <w:t xml:space="preserve">How much incremental Lower 48 production the added activity supports in 2027</w:t>
      </w:r>
    </w:p>
    <w:p>
      <w:pPr>
        <w:pStyle w:val="Compact"/>
        <w:numPr>
          <w:ilvl w:val="0"/>
          <w:numId w:val="1005"/>
        </w:numPr>
      </w:pPr>
      <w:r>
        <w:t xml:space="preserve">Whether Qatar project delays move capital out of 2026, offsetting Permian additions</w:t>
      </w:r>
    </w:p>
    <w:p>
      <w:pPr>
        <w:pStyle w:val="FirstParagraph"/>
      </w:pPr>
      <w:r>
        <w:t xml:space="preserve">A move above $12.5 billion without a commensurate improvement in future production or project economics would probably be viewed negatively. The preferred message is that COP can capture commodity upside while keeping its reinvestment rate controlled.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X348905451885a7194e76c6c3ca50b6e904264c5"/>
    <w:p>
      <w:pPr>
        <w:pStyle w:val="Heading2"/>
      </w:pPr>
      <w:r>
        <w:t xml:space="preserve">4. Share repurchases should accelerate</w:t>
      </w:r>
    </w:p>
    <w:p>
      <w:pPr>
        <w:pStyle w:val="FirstParagraph"/>
      </w:pPr>
      <w:r>
        <w:t xml:space="preserve">COP generated $5.4 billion of CFO in 1Q and returned $2.0 billion to shareholders:</w:t>
      </w:r>
    </w:p>
    <w:p>
      <w:pPr>
        <w:pStyle w:val="Compact"/>
        <w:numPr>
          <w:ilvl w:val="0"/>
          <w:numId w:val="1006"/>
        </w:numPr>
      </w:pPr>
      <w:r>
        <w:t xml:space="preserve">$1.0 billion of dividends</w:t>
      </w:r>
    </w:p>
    <w:p>
      <w:pPr>
        <w:pStyle w:val="Compact"/>
        <w:numPr>
          <w:ilvl w:val="0"/>
          <w:numId w:val="1006"/>
        </w:numPr>
      </w:pPr>
      <w:r>
        <w:t xml:space="preserve">$1.0 billion of share repurchases</w:t>
      </w:r>
    </w:p>
    <w:p>
      <w:pPr>
        <w:pStyle w:val="FirstParagraph"/>
      </w:pPr>
      <w:r>
        <w:t xml:space="preserve">Management reiterated its objective to return</w:t>
      </w:r>
      <w:r>
        <w:t xml:space="preserve"> </w:t>
      </w:r>
      <w:r>
        <w:rPr>
          <w:b/>
          <w:bCs/>
        </w:rPr>
        <w:t xml:space="preserve">45% of 2026 CFO</w:t>
      </w:r>
      <w:r>
        <w:t xml:space="preserve">. Because 2Q commodity prices were materially stronger, the implied shareholder-return capacity has increased.</w:t>
      </w:r>
    </w:p>
    <w:p>
      <w:pPr>
        <w:pStyle w:val="BodyText"/>
      </w:pPr>
      <w:r>
        <w:t xml:space="preserve">The key question is whether management actually deployed that capacity. Investors should expect:</w:t>
      </w:r>
    </w:p>
    <w:p>
      <w:pPr>
        <w:pStyle w:val="Compact"/>
        <w:numPr>
          <w:ilvl w:val="0"/>
          <w:numId w:val="1007"/>
        </w:numPr>
      </w:pPr>
      <w:r>
        <w:t xml:space="preserve">A buyback meaningfully above the 1Q level</w:t>
      </w:r>
    </w:p>
    <w:p>
      <w:pPr>
        <w:pStyle w:val="Compact"/>
        <w:numPr>
          <w:ilvl w:val="0"/>
          <w:numId w:val="1007"/>
        </w:numPr>
      </w:pPr>
      <w:r>
        <w:t xml:space="preserve">Continued support for the $0.84 quarterly dividend</w:t>
      </w:r>
    </w:p>
    <w:p>
      <w:pPr>
        <w:pStyle w:val="Compact"/>
        <w:numPr>
          <w:ilvl w:val="0"/>
          <w:numId w:val="1007"/>
        </w:numPr>
      </w:pPr>
      <w:r>
        <w:t xml:space="preserve">Reaffirmation of the 45%-of-CFO objective</w:t>
      </w:r>
    </w:p>
    <w:p>
      <w:pPr>
        <w:pStyle w:val="Compact"/>
        <w:numPr>
          <w:ilvl w:val="0"/>
          <w:numId w:val="1007"/>
        </w:numPr>
      </w:pPr>
      <w:r>
        <w:t xml:space="preserve">Commentary on how the company balances repurchases against volatility and balance-sheet protection</w:t>
      </w:r>
    </w:p>
    <w:p>
      <w:pPr>
        <w:pStyle w:val="FirstParagraph"/>
      </w:pPr>
      <w:r>
        <w:t xml:space="preserve">A strong cash quarter with only modest repurchases could disappoint unless management provides a persuasive timing explanation. The dividend itself is unlikely to be the near-term catalyst;</w:t>
      </w:r>
      <w:r>
        <w:t xml:space="preserve"> </w:t>
      </w:r>
      <w:r>
        <w:rPr>
          <w:b/>
          <w:bCs/>
        </w:rPr>
        <w:t xml:space="preserve">buyback pace is the flexible mechanism through which 2Q commodity upside should reach shareholders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2"/>
    <w:bookmarkStart w:id="23" w:name="X1e45deb7806fb73a47e658bca306b9a2429048a"/>
    <w:p>
      <w:pPr>
        <w:pStyle w:val="Heading2"/>
      </w:pPr>
      <w:r>
        <w:t xml:space="preserve">5. Costs may offer an underappreciated source of upside</w:t>
      </w:r>
    </w:p>
    <w:p>
      <w:pPr>
        <w:pStyle w:val="FirstParagraph"/>
      </w:pPr>
      <w:r>
        <w:t xml:space="preserve">Full-year adjusted operating-cost guidance remains</w:t>
      </w:r>
      <w:r>
        <w:t xml:space="preserve"> </w:t>
      </w:r>
      <w:r>
        <w:rPr>
          <w:b/>
          <w:bCs/>
        </w:rPr>
        <w:t xml:space="preserve">$10.2 billion</w:t>
      </w:r>
      <w:r>
        <w:t xml:space="preserve">,</w:t>
      </w:r>
      <w:r>
        <w:t xml:space="preserve"> </w:t>
      </w:r>
      <m:oMath>
        <m:r>
          <m:t>400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b</m:t>
        </m:r>
        <m:r>
          <m:t>e</m:t>
        </m:r>
        <m:r>
          <m:t>l</m:t>
        </m:r>
        <m:r>
          <m:t>o</m:t>
        </m:r>
        <m:r>
          <m:t>w</m:t>
        </m:r>
        <m:r>
          <m:t>2025</m:t>
        </m:r>
        <m:r>
          <m:rPr>
            <m:sty m:val="p"/>
          </m:rPr>
          <m:t>.</m:t>
        </m:r>
        <m:r>
          <m:t>I</m:t>
        </m:r>
        <m:r>
          <m:t>n</m:t>
        </m:r>
        <m:r>
          <m:t>A</m:t>
        </m:r>
        <m:r>
          <m:t>p</m:t>
        </m:r>
        <m:r>
          <m:t>r</m:t>
        </m:r>
        <m:r>
          <m:t>i</m:t>
        </m:r>
        <m:r>
          <m:t>l</m:t>
        </m:r>
        <m:r>
          <m:rPr>
            <m:sty m:val="p"/>
          </m:rPr>
          <m:t>,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s</m:t>
        </m:r>
        <m:r>
          <m:t>a</m:t>
        </m:r>
        <m:r>
          <m:t>i</m:t>
        </m:r>
        <m:r>
          <m:t>d</m:t>
        </m:r>
        <m:r>
          <m:t>c</m:t>
        </m:r>
        <m:r>
          <m:t>o</m:t>
        </m:r>
        <m:r>
          <m:t>s</m:t>
        </m:r>
        <m:r>
          <m:t>t</m:t>
        </m:r>
        <m:r>
          <m:t>r</m:t>
        </m:r>
        <m:r>
          <m:t>e</m:t>
        </m:r>
        <m:r>
          <m:t>d</m:t>
        </m:r>
        <m:r>
          <m:t>u</m:t>
        </m:r>
        <m:r>
          <m:t>c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t>w</m:t>
        </m:r>
        <m:r>
          <m:t>e</m:t>
        </m:r>
        <m:r>
          <m:t>r</m:t>
        </m:r>
        <m:r>
          <m:t>e</m:t>
        </m:r>
        <m:r>
          <m:t>a</m:t>
        </m:r>
        <m:r>
          <m:t>r</m:t>
        </m:r>
        <m:r>
          <m:t>r</m:t>
        </m:r>
        <m:r>
          <m:t>i</m:t>
        </m:r>
        <m:r>
          <m:t>v</m:t>
        </m:r>
        <m:r>
          <m:t>i</m:t>
        </m:r>
        <m:r>
          <m:t>n</m:t>
        </m:r>
        <m:r>
          <m:t>g</m:t>
        </m:r>
        <m:r>
          <m:t>f</m:t>
        </m:r>
        <m:r>
          <m:t>a</m:t>
        </m:r>
        <m:r>
          <m:t>s</m:t>
        </m:r>
        <m:r>
          <m:t>t</m:t>
        </m:r>
        <m:r>
          <m:t>e</m:t>
        </m:r>
        <m:r>
          <m:t>r</m:t>
        </m:r>
        <m:r>
          <m:t>t</m:t>
        </m:r>
        <m:r>
          <m:t>h</m:t>
        </m:r>
        <m:r>
          <m:t>a</m:t>
        </m:r>
        <m:r>
          <m:t>n</m:t>
        </m:r>
        <m:r>
          <m:t>i</m:t>
        </m:r>
        <m:r>
          <m:t>n</m:t>
        </m:r>
        <m:r>
          <m:t>i</m:t>
        </m:r>
        <m:r>
          <m:t>t</m:t>
        </m:r>
        <m:r>
          <m:t>i</m:t>
        </m:r>
        <m:r>
          <m:t>a</m:t>
        </m:r>
        <m:r>
          <m:t>l</m:t>
        </m:r>
        <m:r>
          <m:t>l</m:t>
        </m:r>
        <m:r>
          <m:t>y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t>a</m:t>
        </m:r>
        <m:r>
          <m:t>n</m:t>
        </m:r>
        <m:r>
          <m:t>d</m:t>
        </m:r>
        <m:r>
          <m:t>r</m:t>
        </m:r>
        <m:r>
          <m:t>e</m:t>
        </m:r>
        <m:r>
          <m:t>i</m:t>
        </m:r>
        <m:r>
          <m:t>t</m:t>
        </m:r>
        <m:r>
          <m:t>e</m:t>
        </m:r>
        <m:r>
          <m:t>r</m:t>
        </m:r>
        <m:r>
          <m:t>a</m:t>
        </m:r>
        <m:r>
          <m:t>t</m:t>
        </m:r>
        <m:r>
          <m:t>e</m:t>
        </m:r>
        <m:r>
          <m:t>d</m:t>
        </m:r>
        <m:r>
          <m:t>c</m:t>
        </m:r>
        <m:r>
          <m:t>o</m:t>
        </m:r>
        <m:r>
          <m:t>n</m:t>
        </m:r>
        <m:r>
          <m:t>f</m:t>
        </m:r>
        <m:r>
          <m:t>i</m:t>
        </m:r>
        <m:r>
          <m:t>d</m:t>
        </m:r>
        <m:r>
          <m:t>e</m:t>
        </m:r>
        <m:r>
          <m:t>n</m:t>
        </m:r>
        <m:r>
          <m:t>c</m:t>
        </m:r>
        <m:r>
          <m:t>e</m:t>
        </m:r>
        <m:r>
          <m:t>i</m:t>
        </m:r>
        <m:r>
          <m:t>n</m:t>
        </m:r>
        <m:r>
          <m:t>a</m:t>
        </m:r>
        <m:r>
          <m:t>c</m:t>
        </m:r>
        <m:r>
          <m:t>h</m:t>
        </m:r>
        <m:r>
          <m:t>i</m:t>
        </m:r>
        <m:r>
          <m:t>e</m:t>
        </m:r>
        <m:r>
          <m:t>v</m:t>
        </m:r>
        <m:r>
          <m:t>i</m:t>
        </m:r>
        <m:r>
          <m:t>n</m:t>
        </m:r>
        <m:r>
          <m:t>g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 billion run-rate benefit by year-end 2026**.</w:t>
      </w:r>
    </w:p>
    <w:p>
      <w:pPr>
        <w:pStyle w:val="BodyText"/>
      </w:pPr>
      <w:r>
        <w:t xml:space="preserve">That creates an opportunity for a guidance improvement.</w:t>
      </w:r>
    </w:p>
    <w:p>
      <w:pPr>
        <w:pStyle w:val="BodyText"/>
      </w:pPr>
      <w:r>
        <w:t xml:space="preserve">Investors should look for:</w:t>
      </w:r>
    </w:p>
    <w:p>
      <w:pPr>
        <w:pStyle w:val="Compact"/>
        <w:numPr>
          <w:ilvl w:val="0"/>
          <w:numId w:val="1008"/>
        </w:numPr>
      </w:pPr>
      <w:r>
        <w:t xml:space="preserve">A reduction in the $10.2 billion operating-cost forecast</w:t>
      </w:r>
    </w:p>
    <w:p>
      <w:pPr>
        <w:pStyle w:val="Compact"/>
        <w:numPr>
          <w:ilvl w:val="0"/>
          <w:numId w:val="1008"/>
        </w:numPr>
      </w:pPr>
      <w:r>
        <w:t xml:space="preserve">Confirmation that the $1 billion run-rate target remains on schedule</w:t>
      </w:r>
    </w:p>
    <w:p>
      <w:pPr>
        <w:pStyle w:val="Compact"/>
        <w:numPr>
          <w:ilvl w:val="0"/>
          <w:numId w:val="1008"/>
        </w:numPr>
      </w:pPr>
      <w:r>
        <w:t xml:space="preserve">Lower lease operating costs in the Lower 48</w:t>
      </w:r>
    </w:p>
    <w:p>
      <w:pPr>
        <w:pStyle w:val="Compact"/>
        <w:numPr>
          <w:ilvl w:val="0"/>
          <w:numId w:val="1008"/>
        </w:numPr>
      </w:pPr>
      <w:r>
        <w:t xml:space="preserve">Evidence that Marathon Oil integration savings are durable</w:t>
      </w:r>
    </w:p>
    <w:p>
      <w:pPr>
        <w:pStyle w:val="Compact"/>
        <w:numPr>
          <w:ilvl w:val="0"/>
          <w:numId w:val="1008"/>
        </w:numPr>
      </w:pPr>
      <w:r>
        <w:t xml:space="preserve">Any offset from inflation, security costs or international disruptions</w:t>
      </w:r>
    </w:p>
    <w:p>
      <w:pPr>
        <w:pStyle w:val="FirstParagraph"/>
      </w:pPr>
      <w:r>
        <w:t xml:space="preserve">A lower cost outlook would be especially valuable because it would represent</w:t>
      </w:r>
      <w:r>
        <w:t xml:space="preserve"> </w:t>
      </w:r>
      <w:r>
        <w:rPr>
          <w:b/>
          <w:bCs/>
        </w:rPr>
        <w:t xml:space="preserve">structural free-cash-flow improvement</w:t>
      </w:r>
      <w:r>
        <w:t xml:space="preserve">, rather than temporary commodity-price upside.</w:t>
      </w:r>
    </w:p>
    <w:p>
      <w:r>
        <w:pict>
          <v:rect style="width:0;height:1.5pt" o:hralign="center" o:hrstd="t" o:hr="t"/>
        </w:pict>
      </w:r>
    </w:p>
    <w:bookmarkEnd w:id="23"/>
    <w:bookmarkStart w:id="28" w:name="Xc993350b95699586bb604aaab488a1c53ebc20e"/>
    <w:p>
      <w:pPr>
        <w:pStyle w:val="Heading2"/>
      </w:pPr>
      <w:r>
        <w:t xml:space="preserve">6. Long-cycle project execution remains central to the valuation</w:t>
      </w:r>
    </w:p>
    <w:p>
      <w:pPr>
        <w:pStyle w:val="FirstParagraph"/>
      </w:pPr>
      <w:r>
        <w:t xml:space="preserve">COP’s longer-term case rests on approximately</w:t>
      </w:r>
      <w:r>
        <w:t xml:space="preserve"> </w:t>
      </w:r>
      <w:r>
        <w:rPr>
          <w:b/>
          <w:bCs/>
        </w:rPr>
        <w:t xml:space="preserve">$7 billion of targeted free-cash-flow improvement by 2029</w:t>
      </w:r>
      <w:r>
        <w:t xml:space="preserve">, supported by cost reductions, Willow and LNG investments.</w:t>
      </w:r>
    </w:p>
    <w:bookmarkStart w:id="24" w:name="willow"/>
    <w:p>
      <w:pPr>
        <w:pStyle w:val="Heading3"/>
      </w:pPr>
      <w:r>
        <w:t xml:space="preserve">Willow</w:t>
      </w:r>
    </w:p>
    <w:p>
      <w:pPr>
        <w:pStyle w:val="FirstParagraph"/>
      </w:pPr>
      <w:r>
        <w:t xml:space="preserve">Willow was approximately</w:t>
      </w:r>
      <w:r>
        <w:t xml:space="preserve"> </w:t>
      </w:r>
      <w:r>
        <w:rPr>
          <w:b/>
          <w:bCs/>
        </w:rPr>
        <w:t xml:space="preserve">50% complete</w:t>
      </w:r>
      <w:r>
        <w:t xml:space="preserve"> </w:t>
      </w:r>
      <w:r>
        <w:t xml:space="preserve">at the end of 1Q, with early oil still expected in 2029. Investors will want confirmation that:</w:t>
      </w:r>
    </w:p>
    <w:p>
      <w:pPr>
        <w:pStyle w:val="Compact"/>
        <w:numPr>
          <w:ilvl w:val="0"/>
          <w:numId w:val="1009"/>
        </w:numPr>
      </w:pPr>
      <w:r>
        <w:t xml:space="preserve">Summer construction remains on plan</w:t>
      </w:r>
    </w:p>
    <w:p>
      <w:pPr>
        <w:pStyle w:val="Compact"/>
        <w:numPr>
          <w:ilvl w:val="0"/>
          <w:numId w:val="1009"/>
        </w:numPr>
      </w:pPr>
      <w:r>
        <w:t xml:space="preserve">Major modules remain on schedule for the planned 2027 sealift</w:t>
      </w:r>
    </w:p>
    <w:p>
      <w:pPr>
        <w:pStyle w:val="Compact"/>
        <w:numPr>
          <w:ilvl w:val="0"/>
          <w:numId w:val="1009"/>
        </w:numPr>
      </w:pPr>
      <w:r>
        <w:t xml:space="preserve">Project cost and first-oil expectations are unchanged</w:t>
      </w:r>
    </w:p>
    <w:p>
      <w:pPr>
        <w:pStyle w:val="Compact"/>
        <w:numPr>
          <w:ilvl w:val="0"/>
          <w:numId w:val="1009"/>
        </w:numPr>
      </w:pPr>
      <w:r>
        <w:t xml:space="preserve">Alaska exploration results support additional infrastructure-led development</w:t>
      </w:r>
    </w:p>
    <w:bookmarkEnd w:id="24"/>
    <w:bookmarkStart w:id="25" w:name="port-arthur-lng"/>
    <w:p>
      <w:pPr>
        <w:pStyle w:val="Heading3"/>
      </w:pPr>
      <w:r>
        <w:t xml:space="preserve">Port Arthur LNG</w:t>
      </w:r>
    </w:p>
    <w:p>
      <w:pPr>
        <w:pStyle w:val="FirstParagraph"/>
      </w:pPr>
      <w:r>
        <w:t xml:space="preserve">First LNG from Port Arthur Phase 1 remains expected in 2027. The project’s value has increased strategically as global LNG markets have tightened, but schedule and construction-cost execution remain important.</w:t>
      </w:r>
    </w:p>
    <w:bookmarkEnd w:id="25"/>
    <w:bookmarkStart w:id="27" w:name="iraq"/>
    <w:p>
      <w:pPr>
        <w:pStyle w:val="Heading3"/>
      </w:pPr>
      <w:r>
        <w:t xml:space="preserve">Iraq</w:t>
      </w:r>
    </w:p>
    <w:p>
      <w:pPr>
        <w:pStyle w:val="FirstParagraph"/>
      </w:pPr>
      <w:r>
        <w:t xml:space="preserve">On July 17, COP agreed to acquire a</w:t>
      </w:r>
      <w:r>
        <w:t xml:space="preserve"> </w:t>
      </w:r>
      <w:r>
        <w:rPr>
          <w:b/>
          <w:bCs/>
        </w:rPr>
        <w:t xml:space="preserve">42% interest</w:t>
      </w:r>
      <w:r>
        <w:t xml:space="preserve"> </w:t>
      </w:r>
      <w:r>
        <w:t xml:space="preserve">in BP Energy Company of Kirkuk Limited, covering four currently producing fields in northern Iraq. The contract includes more than 3 billion BOE of initial gross recoverable resource. COP said the equity-accounted investment should not require significant capital contributions, with remuneration tied to incremental production and costs. (</w:t>
      </w:r>
      <w:hyperlink r:id="rId26">
        <w:r>
          <w:rPr>
            <w:rStyle w:val="Hyperlink"/>
          </w:rPr>
          <w:t xml:space="preserve">conocophillips.com</w:t>
        </w:r>
      </w:hyperlink>
      <w:r>
        <w:t xml:space="preserve">)</w:t>
      </w:r>
    </w:p>
    <w:p>
      <w:pPr>
        <w:pStyle w:val="BodyText"/>
      </w:pPr>
      <w:r>
        <w:t xml:space="preserve">The call should provide additional context on:</w:t>
      </w:r>
    </w:p>
    <w:p>
      <w:pPr>
        <w:pStyle w:val="Compact"/>
        <w:numPr>
          <w:ilvl w:val="0"/>
          <w:numId w:val="1010"/>
        </w:numPr>
      </w:pPr>
      <w:r>
        <w:t xml:space="preserve">Expected closing timing</w:t>
      </w:r>
    </w:p>
    <w:p>
      <w:pPr>
        <w:pStyle w:val="Compact"/>
        <w:numPr>
          <w:ilvl w:val="0"/>
          <w:numId w:val="1010"/>
        </w:numPr>
      </w:pPr>
      <w:r>
        <w:t xml:space="preserve">The potential production and cash-flow contribution</w:t>
      </w:r>
    </w:p>
    <w:p>
      <w:pPr>
        <w:pStyle w:val="Compact"/>
        <w:numPr>
          <w:ilvl w:val="0"/>
          <w:numId w:val="1010"/>
        </w:numPr>
      </w:pPr>
      <w:r>
        <w:t xml:space="preserve">Political and contractual risk</w:t>
      </w:r>
    </w:p>
    <w:p>
      <w:pPr>
        <w:pStyle w:val="Compact"/>
        <w:numPr>
          <w:ilvl w:val="0"/>
          <w:numId w:val="1010"/>
        </w:numPr>
      </w:pPr>
      <w:r>
        <w:t xml:space="preserve">Why the opportunity ranks competitively against existing projects</w:t>
      </w:r>
    </w:p>
    <w:p>
      <w:pPr>
        <w:pStyle w:val="Compact"/>
        <w:numPr>
          <w:ilvl w:val="0"/>
          <w:numId w:val="1010"/>
        </w:numPr>
      </w:pPr>
      <w:r>
        <w:t xml:space="preserve">Whether the transaction changes medium-term capital allocation</w:t>
      </w:r>
    </w:p>
    <w:p>
      <w:pPr>
        <w:pStyle w:val="FirstParagraph"/>
      </w:pPr>
      <w:r>
        <w:t xml:space="preserve">The low-capital structure sounds attractive, but investors will want assurance that Iraq adds resource depth without compromising COP’s return framework.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stock-setup"/>
    <w:p>
      <w:pPr>
        <w:pStyle w:val="Heading2"/>
      </w:pPr>
      <w:r>
        <w:t xml:space="preserve">Stock setup</w:t>
      </w:r>
    </w:p>
    <w:p>
      <w:pPr>
        <w:pStyle w:val="FirstParagraph"/>
      </w:pPr>
      <w:r>
        <w:t xml:space="preserve">COP closed August 5 at approximately</w:t>
      </w:r>
      <w:r>
        <w:t xml:space="preserve"> </w:t>
      </w:r>
      <w:r>
        <w:rPr>
          <w:b/>
          <w:bCs/>
        </w:rPr>
        <w:t xml:space="preserve">$115.07</w:t>
      </w:r>
      <w:r>
        <w:t xml:space="preserve">:</w:t>
      </w:r>
    </w:p>
    <w:p>
      <w:pPr>
        <w:pStyle w:val="Compact"/>
        <w:numPr>
          <w:ilvl w:val="0"/>
          <w:numId w:val="1011"/>
        </w:numPr>
      </w:pPr>
      <w:r>
        <w:t xml:space="preserve">Up roughly</w:t>
      </w:r>
      <w:r>
        <w:t xml:space="preserve"> </w:t>
      </w:r>
      <w:r>
        <w:rPr>
          <w:b/>
          <w:bCs/>
        </w:rPr>
        <w:t xml:space="preserve">19% year to date</w:t>
      </w:r>
    </w:p>
    <w:p>
      <w:pPr>
        <w:pStyle w:val="Compact"/>
        <w:numPr>
          <w:ilvl w:val="0"/>
          <w:numId w:val="1011"/>
        </w:numPr>
      </w:pPr>
      <w:r>
        <w:t xml:space="preserve">Down roughly</w:t>
      </w:r>
      <w:r>
        <w:t xml:space="preserve"> </w:t>
      </w:r>
      <w:r>
        <w:rPr>
          <w:b/>
          <w:bCs/>
        </w:rPr>
        <w:t xml:space="preserve">8.5% since the 1Q earnings date</w:t>
      </w:r>
    </w:p>
    <w:p>
      <w:pPr>
        <w:pStyle w:val="Compact"/>
        <w:numPr>
          <w:ilvl w:val="0"/>
          <w:numId w:val="1011"/>
        </w:numPr>
      </w:pPr>
      <w:r>
        <w:t xml:space="preserve">Up approximately</w:t>
      </w:r>
      <w:r>
        <w:t xml:space="preserve"> </w:t>
      </w:r>
      <w:r>
        <w:rPr>
          <w:b/>
          <w:bCs/>
        </w:rPr>
        <w:t xml:space="preserve">11% since the beginning of July</w:t>
      </w:r>
    </w:p>
    <w:p>
      <w:pPr>
        <w:pStyle w:val="FirstParagraph"/>
      </w:pPr>
      <w:r>
        <w:t xml:space="preserve">The setup is therefore mixed. The stock has benefited from stronger oil prices but has pulled back from its spring highs. A strong quarter is expected, yet the recent decline leaves room for upside if management delivers favorable Qatar, cost and shareholder-return commentary.</w:t>
      </w:r>
    </w:p>
    <w:p>
      <w:pPr>
        <w:pStyle w:val="BodyText"/>
      </w:pPr>
      <w:r>
        <w:t xml:space="preserve">Relative to Exxon and Chevron, COP offers more direct upstream commodity exposure. That creates greater earnings torque but also makes</w:t>
      </w:r>
      <w:r>
        <w:t xml:space="preserve"> </w:t>
      </w:r>
      <w:r>
        <w:rPr>
          <w:b/>
          <w:bCs/>
        </w:rPr>
        <w:t xml:space="preserve">capital discipline and return-of-cash execution particularly important when oil prices rise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9"/>
    <w:bookmarkStart w:id="33" w:name="scenario-framework"/>
    <w:p>
      <w:pPr>
        <w:pStyle w:val="Heading2"/>
      </w:pPr>
      <w:r>
        <w:t xml:space="preserve">Scenario framework</w:t>
      </w:r>
    </w:p>
    <w:bookmarkStart w:id="30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2"/>
        </w:numPr>
      </w:pPr>
      <w:r>
        <w:t xml:space="preserve">Adjusted EPS above approximately</w:t>
      </w:r>
      <w:r>
        <w:t xml:space="preserve"> </w:t>
      </w:r>
      <w:r>
        <w:rPr>
          <w:b/>
          <w:bCs/>
        </w:rPr>
        <w:t xml:space="preserve">$3.00</w:t>
      </w:r>
    </w:p>
    <w:p>
      <w:pPr>
        <w:pStyle w:val="Compact"/>
        <w:numPr>
          <w:ilvl w:val="0"/>
          <w:numId w:val="1012"/>
        </w:numPr>
      </w:pPr>
      <w:r>
        <w:t xml:space="preserve">Production above the high end of guidance</w:t>
      </w:r>
    </w:p>
    <w:p>
      <w:pPr>
        <w:pStyle w:val="Compact"/>
        <w:numPr>
          <w:ilvl w:val="0"/>
          <w:numId w:val="1012"/>
        </w:numPr>
      </w:pPr>
      <w:r>
        <w:t xml:space="preserve">Strong realized pricing and CFO conversion</w:t>
      </w:r>
    </w:p>
    <w:p>
      <w:pPr>
        <w:pStyle w:val="Compact"/>
        <w:numPr>
          <w:ilvl w:val="0"/>
          <w:numId w:val="1012"/>
        </w:numPr>
      </w:pPr>
      <w:r>
        <w:t xml:space="preserve">Qatar restart or credible near-term restart timeline</w:t>
      </w:r>
    </w:p>
    <w:p>
      <w:pPr>
        <w:pStyle w:val="Compact"/>
        <w:numPr>
          <w:ilvl w:val="0"/>
          <w:numId w:val="1012"/>
        </w:numPr>
      </w:pPr>
      <w:r>
        <w:t xml:space="preserve">FY production guidance maintained or raised</w:t>
      </w:r>
    </w:p>
    <w:p>
      <w:pPr>
        <w:pStyle w:val="Compact"/>
        <w:numPr>
          <w:ilvl w:val="0"/>
          <w:numId w:val="1012"/>
        </w:numPr>
      </w:pPr>
      <w:r>
        <w:t xml:space="preserve">Operating-cost guidance reduced</w:t>
      </w:r>
    </w:p>
    <w:p>
      <w:pPr>
        <w:pStyle w:val="Compact"/>
        <w:numPr>
          <w:ilvl w:val="0"/>
          <w:numId w:val="1012"/>
        </w:numPr>
      </w:pPr>
      <w:r>
        <w:t xml:space="preserve">Capital remains within</w:t>
      </w:r>
      <w:r>
        <w:t xml:space="preserve"> </w:t>
      </w:r>
      <m:oMath>
        <m:r>
          <m:t>12.0</m:t>
        </m:r>
        <m:r>
          <m:rPr>
            <m:sty m:val="p"/>
          </m:rPr>
          <m:t>–</m:t>
        </m:r>
      </m:oMath>
      <w:r>
        <w:t xml:space="preserve">12.5 billion</w:t>
      </w:r>
    </w:p>
    <w:p>
      <w:pPr>
        <w:pStyle w:val="Compact"/>
        <w:numPr>
          <w:ilvl w:val="0"/>
          <w:numId w:val="1012"/>
        </w:numPr>
      </w:pPr>
      <w:r>
        <w:t xml:space="preserve">Buybacks accelerate materially</w:t>
      </w:r>
    </w:p>
    <w:p>
      <w:pPr>
        <w:pStyle w:val="FirstParagraph"/>
      </w:pPr>
      <w:r>
        <w:t xml:space="preserve">This would reinforce the case that COP is converting commodity upside into per-share free-cash-flow growth rather than spending it.</w:t>
      </w:r>
    </w:p>
    <w:bookmarkEnd w:id="30"/>
    <w:bookmarkStart w:id="31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3"/>
        </w:numPr>
      </w:pPr>
      <w:r>
        <w:t xml:space="preserve">EPS roughly in line with the</w:t>
      </w:r>
      <w:r>
        <w:t xml:space="preserve"> </w:t>
      </w:r>
      <m:oMath>
        <m:r>
          <m:t>2.90</m:t>
        </m:r>
        <m:r>
          <m:rPr>
            <m:sty m:val="p"/>
          </m:rPr>
          <m:t>–</m:t>
        </m:r>
      </m:oMath>
      <w:r>
        <w:t xml:space="preserve">2.96 area</w:t>
      </w:r>
    </w:p>
    <w:p>
      <w:pPr>
        <w:pStyle w:val="Compact"/>
        <w:numPr>
          <w:ilvl w:val="0"/>
          <w:numId w:val="1013"/>
        </w:numPr>
      </w:pPr>
      <w:r>
        <w:t xml:space="preserve">Production close to 2.20 MMBOED</w:t>
      </w:r>
    </w:p>
    <w:p>
      <w:pPr>
        <w:pStyle w:val="Compact"/>
        <w:numPr>
          <w:ilvl w:val="0"/>
          <w:numId w:val="1013"/>
        </w:numPr>
      </w:pPr>
      <w:r>
        <w:t xml:space="preserve">FY production, capital and cost guidance maintained</w:t>
      </w:r>
    </w:p>
    <w:p>
      <w:pPr>
        <w:pStyle w:val="Compact"/>
        <w:numPr>
          <w:ilvl w:val="0"/>
          <w:numId w:val="1013"/>
        </w:numPr>
      </w:pPr>
      <w:r>
        <w:t xml:space="preserve">Limited new Qatar visibility</w:t>
      </w:r>
    </w:p>
    <w:p>
      <w:pPr>
        <w:pStyle w:val="Compact"/>
        <w:numPr>
          <w:ilvl w:val="0"/>
          <w:numId w:val="1013"/>
        </w:numPr>
      </w:pPr>
      <w:r>
        <w:t xml:space="preserve">Buybacks increase but remain measured</w:t>
      </w:r>
    </w:p>
    <w:p>
      <w:pPr>
        <w:pStyle w:val="FirstParagraph"/>
      </w:pPr>
      <w:r>
        <w:t xml:space="preserve">The stock reaction would probably depend more on management’s 3Q outlook than on the reported numbers.</w:t>
      </w:r>
    </w:p>
    <w:bookmarkEnd w:id="31"/>
    <w:bookmarkStart w:id="32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4"/>
        </w:numPr>
      </w:pPr>
      <w:r>
        <w:t xml:space="preserve">Production below 2.185 MMBOED</w:t>
      </w:r>
    </w:p>
    <w:p>
      <w:pPr>
        <w:pStyle w:val="Compact"/>
        <w:numPr>
          <w:ilvl w:val="0"/>
          <w:numId w:val="1014"/>
        </w:numPr>
      </w:pPr>
      <w:r>
        <w:t xml:space="preserve">Weak realizations or cash conversion</w:t>
      </w:r>
    </w:p>
    <w:p>
      <w:pPr>
        <w:pStyle w:val="Compact"/>
        <w:numPr>
          <w:ilvl w:val="0"/>
          <w:numId w:val="1014"/>
        </w:numPr>
      </w:pPr>
      <w:r>
        <w:t xml:space="preserve">Continued Qatar shutdown with no clear timeline</w:t>
      </w:r>
    </w:p>
    <w:p>
      <w:pPr>
        <w:pStyle w:val="Compact"/>
        <w:numPr>
          <w:ilvl w:val="0"/>
          <w:numId w:val="1014"/>
        </w:numPr>
      </w:pPr>
      <w:r>
        <w:t xml:space="preserve">FY production guidance reduced</w:t>
      </w:r>
    </w:p>
    <w:p>
      <w:pPr>
        <w:pStyle w:val="Compact"/>
        <w:numPr>
          <w:ilvl w:val="0"/>
          <w:numId w:val="1014"/>
        </w:numPr>
      </w:pPr>
      <w:r>
        <w:t xml:space="preserve">Capital moves above $12.5 billion</w:t>
      </w:r>
    </w:p>
    <w:p>
      <w:pPr>
        <w:pStyle w:val="Compact"/>
        <w:numPr>
          <w:ilvl w:val="0"/>
          <w:numId w:val="1014"/>
        </w:numPr>
      </w:pPr>
      <w:r>
        <w:t xml:space="preserve">Cost savings slip or inflation offsets them</w:t>
      </w:r>
    </w:p>
    <w:p>
      <w:pPr>
        <w:pStyle w:val="Compact"/>
        <w:numPr>
          <w:ilvl w:val="0"/>
          <w:numId w:val="1014"/>
        </w:numPr>
      </w:pPr>
      <w:r>
        <w:t xml:space="preserve">Repurchases fail to rise despite stronger CFO</w:t>
      </w:r>
    </w:p>
    <w:p>
      <w:pPr>
        <w:pStyle w:val="FirstParagraph"/>
      </w:pPr>
      <w:r>
        <w:t xml:space="preserve">The most damaging combination would be</w:t>
      </w:r>
      <w:r>
        <w:t xml:space="preserve"> </w:t>
      </w:r>
      <w:r>
        <w:rPr>
          <w:b/>
          <w:bCs/>
        </w:rPr>
        <w:t xml:space="preserve">lower production plus higher capital</w:t>
      </w:r>
      <w:r>
        <w:t xml:space="preserve">, particularly if paired with vague Qatar guidance.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COP is positioned to deliver an excellent</w:t>
      </w:r>
      <w:r>
        <w:t xml:space="preserve"> </w:t>
      </w:r>
      <w:r>
        <w:rPr>
          <w:b/>
          <w:bCs/>
        </w:rPr>
        <w:t xml:space="preserve">reported</w:t>
      </w:r>
      <w:r>
        <w:t xml:space="preserve"> </w:t>
      </w:r>
      <w:r>
        <w:t xml:space="preserve">quarter because 2Q commodity prices were exceptionally favorable. The real test is whether management can demonstrate that the windfall translates into: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High-quality operating cash flow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Accelerating share repurchases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No deterioration in capital discipline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Structural cost reductions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Improved Qatar and long-cycle project visibility</w:t>
      </w:r>
    </w:p>
    <w:p>
      <w:pPr>
        <w:pStyle w:val="FirstParagraph"/>
      </w:pPr>
      <w:r>
        <w:t xml:space="preserve">The single most important figure in the release may be the production result relative to the</w:t>
      </w:r>
      <w:r>
        <w:t xml:space="preserve"> </w:t>
      </w:r>
      <w:r>
        <w:rPr>
          <w:b/>
          <w:bCs/>
        </w:rPr>
        <w:t xml:space="preserve">2.185–2.215 MMBOED</w:t>
      </w:r>
      <w:r>
        <w:t xml:space="preserve"> </w:t>
      </w:r>
      <w:r>
        <w:t xml:space="preserve">range. The single most important discussion topic on the call will be</w:t>
      </w:r>
      <w:r>
        <w:t xml:space="preserve"> </w:t>
      </w:r>
      <w:r>
        <w:rPr>
          <w:b/>
          <w:bCs/>
        </w:rPr>
        <w:t xml:space="preserve">Qatar’s expected contribution in 3Q and the rest of 2026</w:t>
      </w:r>
      <w:r>
        <w:t xml:space="preserve">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s://conocophillips.gcs-web.com/static-files/cd6fb511-0d9f-4ce6-a089-b21b04801887?utm_source=openai" TargetMode="External" /><Relationship Type="http://schemas.openxmlformats.org/officeDocument/2006/relationships/hyperlink" Id="rId10" Target="https://www.barchart.com/stocks/quotes/COP/earnings-estimates?utm_source=openai" TargetMode="External" /><Relationship Type="http://schemas.openxmlformats.org/officeDocument/2006/relationships/hyperlink" Id="rId15" Target="https://www.conocophillips.com/news-media/story/conocophillips-announces-first-quarter-2026-results-and-quarterly-dividend/?utm_source=openai" TargetMode="External" /><Relationship Type="http://schemas.openxmlformats.org/officeDocument/2006/relationships/hyperlink" Id="rId26" Target="https://www.conocophillips.com/news-media/story/conocophillips-reaches-agreement-supporting-redevelopment-of-producing-oil-fields-in-iraq/?utm_source=openai" TargetMode="External" /><Relationship Type="http://schemas.openxmlformats.org/officeDocument/2006/relationships/hyperlink" Id="rId9" Target="https://www.conocophillips.com/news-media/story/conocophillips-to-hold-second-quarter-earnings-conference-call-on-thursday-aug-6/?utm_source=openai" TargetMode="External" /><Relationship Type="http://schemas.openxmlformats.org/officeDocument/2006/relationships/hyperlink" Id="rId14" Target="https://www.investing.com/news/stock-market-news/occidentals-quarterly-realized-oil-prices-jump-amid-iran-war-disruption-4786997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conocophillips.gcs-web.com/static-files/cd6fb511-0d9f-4ce6-a089-b21b04801887?utm_source=openai" TargetMode="External" /><Relationship Type="http://schemas.openxmlformats.org/officeDocument/2006/relationships/hyperlink" Id="rId10" Target="https://www.barchart.com/stocks/quotes/COP/earnings-estimates?utm_source=openai" TargetMode="External" /><Relationship Type="http://schemas.openxmlformats.org/officeDocument/2006/relationships/hyperlink" Id="rId15" Target="https://www.conocophillips.com/news-media/story/conocophillips-announces-first-quarter-2026-results-and-quarterly-dividend/?utm_source=openai" TargetMode="External" /><Relationship Type="http://schemas.openxmlformats.org/officeDocument/2006/relationships/hyperlink" Id="rId26" Target="https://www.conocophillips.com/news-media/story/conocophillips-reaches-agreement-supporting-redevelopment-of-producing-oil-fields-in-iraq/?utm_source=openai" TargetMode="External" /><Relationship Type="http://schemas.openxmlformats.org/officeDocument/2006/relationships/hyperlink" Id="rId9" Target="https://www.conocophillips.com/news-media/story/conocophillips-to-hold-second-quarter-earnings-conference-call-on-thursday-aug-6/?utm_source=openai" TargetMode="External" /><Relationship Type="http://schemas.openxmlformats.org/officeDocument/2006/relationships/hyperlink" Id="rId14" Target="https://www.investing.com/news/stock-market-news/occidentals-quarterly-realized-oil-prices-jump-amid-iran-war-disruption-4786997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2026-08-06T00:51:21Z</dcterms:created>
  <dcterms:modified xsi:type="dcterms:W3CDTF">2026-08-06T00:51:21Z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