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5b6685f5d5760142c14c987417c65240ee86b24"/>
    <w:p>
      <w:pPr>
        <w:pStyle w:val="Heading1"/>
      </w:pPr>
      <w:r>
        <w:t xml:space="preserve">ConocoPhillips (NYSE: COP) — 2Q26 Earnings Preview</w:t>
      </w:r>
    </w:p>
    <w:p>
      <w:pPr>
        <w:pStyle w:val="BlockText"/>
      </w:pPr>
      <w:r>
        <w:rPr>
          <w:b/>
          <w:bCs/>
        </w:rPr>
        <w:t xml:space="preserve">Timing note:</w:t>
      </w:r>
      <w:r>
        <w:t xml:space="preserve"> </w:t>
      </w:r>
      <w:r>
        <w:t xml:space="preserve">August 6, 2026 is</w:t>
      </w:r>
      <w:r>
        <w:t xml:space="preserve"> </w:t>
      </w:r>
      <w:r>
        <w:rPr>
          <w:b/>
          <w:bCs/>
        </w:rPr>
        <w:t xml:space="preserve">today</w:t>
      </w:r>
      <w:r>
        <w:t xml:space="preserve"> </w:t>
      </w:r>
      <w:r>
        <w:t xml:space="preserve">(Thursday), not tomorrow. This preview is for COP’s scheduled</w:t>
      </w:r>
      <w:r>
        <w:t xml:space="preserve"> </w:t>
      </w:r>
      <w:r>
        <w:rPr>
          <w:b/>
          <w:bCs/>
        </w:rPr>
        <w:t xml:space="preserve">2026Q2 earnings call on August 6, 2026</w:t>
      </w:r>
      <w:r>
        <w:t xml:space="preserve">.</w:t>
      </w:r>
    </w:p>
    <w:bookmarkStart w:id="9" w:name="Xa40bba819db8bd6db7ffbb29d873c2b74428201"/>
    <w:p>
      <w:pPr>
        <w:pStyle w:val="Heading2"/>
      </w:pPr>
      <w:r>
        <w:t xml:space="preserve">Investment view: the report is less about the quarter than the durability of the 2026–29 cash-flow setup</w:t>
      </w:r>
    </w:p>
    <w:p>
      <w:pPr>
        <w:pStyle w:val="FirstParagraph"/>
      </w:pPr>
      <w:r>
        <w:t xml:space="preserve">COP enters 2Q earnings with a favorable macro backdrop but unusually high operational and geopolitical uncertainty. The core debate is straightforward:</w:t>
      </w:r>
    </w:p>
    <w:p>
      <w:pPr>
        <w:pStyle w:val="Compact"/>
        <w:numPr>
          <w:ilvl w:val="0"/>
          <w:numId w:val="1001"/>
        </w:numPr>
      </w:pPr>
      <w:r>
        <w:rPr>
          <w:b/>
          <w:bCs/>
        </w:rPr>
        <w:t xml:space="preserve">Bull case:</w:t>
      </w:r>
      <w:r>
        <w:t xml:space="preserve"> </w:t>
      </w:r>
      <w:r>
        <w:t xml:space="preserve">COP converts elevated global crude/LNG prices into materially higher cash flow, maintains a disciplined capital program, protects shareholder returns, and preserves the medium-term growth projects—Willow and Port Arthur LNG—that underpin its targeted</w:t>
      </w:r>
      <w:r>
        <w:t xml:space="preserve"> </w:t>
      </w:r>
      <w:r>
        <w:rPr>
          <w:b/>
          <w:bCs/>
        </w:rPr>
        <w:t xml:space="preserve">$7 billion free-cash-flow inflection by 2029</w:t>
      </w:r>
      <w:r>
        <w:t xml:space="preserve">.</w:t>
      </w:r>
    </w:p>
    <w:p>
      <w:pPr>
        <w:pStyle w:val="Compact"/>
        <w:numPr>
          <w:ilvl w:val="0"/>
          <w:numId w:val="1001"/>
        </w:numPr>
      </w:pPr>
      <w:r>
        <w:rPr>
          <w:b/>
          <w:bCs/>
        </w:rPr>
        <w:t xml:space="preserve">Bear case:</w:t>
      </w:r>
      <w:r>
        <w:t xml:space="preserve"> </w:t>
      </w:r>
      <w:r>
        <w:t xml:space="preserve">Qatar-related disruptions, lower guided 2Q volumes, timing delays at North Field projects, and higher activity/capital needs keep the company from fully translating stronger commodity prices into earnings, free cash flow, and a credible full-year production outlook.</w:t>
      </w:r>
    </w:p>
    <w:p>
      <w:pPr>
        <w:pStyle w:val="FirstParagraph"/>
      </w:pPr>
      <w:r>
        <w:t xml:space="preserve">The share price reflects meaningful—but not unlimited—optimism. COP closed at</w:t>
      </w:r>
      <w:r>
        <w:t xml:space="preserve"> </w:t>
      </w:r>
      <w:r>
        <w:rPr>
          <w:b/>
          <w:bCs/>
        </w:rPr>
        <w:t xml:space="preserve">$115.07 on August 5</w:t>
      </w:r>
      <w:r>
        <w:t xml:space="preserve">, up</w:t>
      </w:r>
      <w:r>
        <w:t xml:space="preserve"> </w:t>
      </w:r>
      <w:r>
        <w:rPr>
          <w:b/>
          <w:bCs/>
        </w:rPr>
        <w:t xml:space="preserve">11.5% from July 1</w:t>
      </w:r>
      <w:r>
        <w:t xml:space="preserve">, although it is down</w:t>
      </w:r>
      <w:r>
        <w:t xml:space="preserve"> </w:t>
      </w:r>
      <w:r>
        <w:rPr>
          <w:b/>
          <w:bCs/>
        </w:rPr>
        <w:t xml:space="preserve">4.3% from its July 23 close</w:t>
      </w:r>
      <w:r>
        <w:t xml:space="preserve"> </w:t>
      </w:r>
      <w:r>
        <w:t xml:space="preserve">as oil-price and geopolitical volatility intensified.</w:t>
      </w:r>
    </w:p>
    <w:bookmarkEnd w:id="9"/>
    <w:bookmarkStart w:id="14" w:name="what-matters-most-in-the-release"/>
    <w:p>
      <w:pPr>
        <w:pStyle w:val="Heading2"/>
      </w:pPr>
      <w:r>
        <w:t xml:space="preserve">What matters most in the release</w:t>
      </w:r>
    </w:p>
    <w:bookmarkStart w:id="10" w:name="X32cbbf04342f1605dabc31f380281b18c5bc029"/>
    <w:p>
      <w:pPr>
        <w:pStyle w:val="Heading3"/>
      </w:pPr>
      <w:r>
        <w:t xml:space="preserve">1. Production: can COP protect full-year guidance despite a soft 2Q setup?</w:t>
      </w:r>
    </w:p>
    <w:p>
      <w:pPr>
        <w:pStyle w:val="FirstParagraph"/>
      </w:pPr>
      <w:r>
        <w:t xml:space="preserve">COP’s 2Q production guidance was</w:t>
      </w:r>
      <w:r>
        <w:t xml:space="preserve"> </w:t>
      </w:r>
      <w:r>
        <w:rPr>
          <w:b/>
          <w:bCs/>
        </w:rPr>
        <w:t xml:space="preserve">2.185–2.215 MMBOED</w:t>
      </w:r>
      <w:r>
        <w:t xml:space="preserve">, versus</w:t>
      </w:r>
      <w:r>
        <w:t xml:space="preserve"> </w:t>
      </w:r>
      <w:r>
        <w:rPr>
          <w:b/>
          <w:bCs/>
        </w:rPr>
        <w:t xml:space="preserve">2.309 MMBOED</w:t>
      </w:r>
      <w:r>
        <w:t xml:space="preserve"> </w:t>
      </w:r>
      <w:r>
        <w:t xml:space="preserve">produced in 1Q26. The lower outlook reflected:</w:t>
      </w:r>
    </w:p>
    <w:p>
      <w:pPr>
        <w:pStyle w:val="Compact"/>
        <w:numPr>
          <w:ilvl w:val="0"/>
          <w:numId w:val="1002"/>
        </w:numPr>
      </w:pPr>
      <w:r>
        <w:t xml:space="preserve">Exclusion of Qatar from 2Q production guidance amid the Middle East conflict;</w:t>
      </w:r>
    </w:p>
    <w:p>
      <w:pPr>
        <w:pStyle w:val="Compact"/>
        <w:numPr>
          <w:ilvl w:val="0"/>
          <w:numId w:val="1002"/>
        </w:numPr>
      </w:pPr>
      <w:r>
        <w:t xml:space="preserve">Higher Surmont royalty rates associated with stronger oil prices; and</w:t>
      </w:r>
    </w:p>
    <w:p>
      <w:pPr>
        <w:pStyle w:val="Compact"/>
        <w:numPr>
          <w:ilvl w:val="0"/>
          <w:numId w:val="1002"/>
        </w:numPr>
      </w:pPr>
      <w:r>
        <w:t xml:space="preserve">Planned seasonal maintenance.</w:t>
      </w:r>
    </w:p>
    <w:p>
      <w:pPr>
        <w:pStyle w:val="FirstParagraph"/>
      </w:pPr>
      <w:r>
        <w:t xml:space="preserve">The company’s full-year production guidance is</w:t>
      </w:r>
      <w:r>
        <w:t xml:space="preserve"> </w:t>
      </w:r>
      <w:r>
        <w:rPr>
          <w:b/>
          <w:bCs/>
        </w:rPr>
        <w:t xml:space="preserve">2.295–2.325 MMBOED</w:t>
      </w:r>
      <w:r>
        <w:t xml:space="preserve">, with a midpoint of</w:t>
      </w:r>
      <w:r>
        <w:t xml:space="preserve"> </w:t>
      </w:r>
      <w:r>
        <w:rPr>
          <w:b/>
          <w:bCs/>
        </w:rPr>
        <w:t xml:space="preserve">2.310 MMBOED</w:t>
      </w:r>
      <w:r>
        <w:t xml:space="preserve">. That guidance was reduced in 1Q to reflect a</w:t>
      </w:r>
      <w:r>
        <w:t xml:space="preserve"> </w:t>
      </w:r>
      <w:r>
        <w:rPr>
          <w:b/>
          <w:bCs/>
        </w:rPr>
        <w:t xml:space="preserve">20 MBOED annual Qatar impact</w:t>
      </w:r>
      <w:r>
        <w:t xml:space="preserve"> </w:t>
      </w:r>
      <w:r>
        <w:t xml:space="preserve">and a</w:t>
      </w:r>
      <w:r>
        <w:t xml:space="preserve"> </w:t>
      </w:r>
      <w:r>
        <w:rPr>
          <w:b/>
          <w:bCs/>
        </w:rPr>
        <w:t xml:space="preserve">15 MBOED Surmont royalty adjustment</w:t>
      </w:r>
      <w:r>
        <w:t xml:space="preserve">—with no other changes to the underlying plan.</w:t>
      </w:r>
    </w:p>
    <w:p>
      <w:pPr>
        <w:pStyle w:val="BodyText"/>
      </w:pPr>
      <w:r>
        <w:rPr>
          <w:b/>
          <w:bCs/>
        </w:rPr>
        <w:t xml:space="preserve">Why this is the central operating issue:</w:t>
      </w:r>
      <w:r>
        <w:t xml:space="preserve"> </w:t>
      </w:r>
      <w:r>
        <w:t xml:space="preserve">even if COP lands at the 2Q midpoint of 2.200 MMBOED and retains its full-year midpoint, it would need to average roughly</w:t>
      </w:r>
      <w:r>
        <w:t xml:space="preserve"> </w:t>
      </w:r>
      <w:r>
        <w:rPr>
          <w:b/>
          <w:bCs/>
        </w:rPr>
        <w:t xml:space="preserve">2.366 MMBOED in 2H26</w:t>
      </w:r>
      <w:r>
        <w:t xml:space="preserve">. The range of implied second-half production is approximately</w:t>
      </w:r>
      <w:r>
        <w:t xml:space="preserve"> </w:t>
      </w:r>
      <w:r>
        <w:rPr>
          <w:b/>
          <w:bCs/>
        </w:rPr>
        <w:t xml:space="preserve">2.328–2.403 MMBOED</w:t>
      </w:r>
      <w:r>
        <w:t xml:space="preserve">, depending on where 2Q and annual production land within their guidance ranges.</w:t>
      </w:r>
    </w:p>
    <w:p>
      <w:pPr>
        <w:pStyle w:val="BodyText"/>
      </w:pPr>
      <w:r>
        <w:t xml:space="preserve">Investors should therefore focus less on whether 2Q production is near the midpoint—which is largely telegraphed—and more on:</w:t>
      </w:r>
    </w:p>
    <w:p>
      <w:pPr>
        <w:pStyle w:val="Compact"/>
        <w:numPr>
          <w:ilvl w:val="0"/>
          <w:numId w:val="1003"/>
        </w:numPr>
      </w:pPr>
      <w:r>
        <w:rPr>
          <w:b/>
          <w:bCs/>
        </w:rPr>
        <w:t xml:space="preserve">The status and expected normalization of Qatar volumes;</w:t>
      </w:r>
    </w:p>
    <w:p>
      <w:pPr>
        <w:pStyle w:val="Compact"/>
        <w:numPr>
          <w:ilvl w:val="0"/>
          <w:numId w:val="1003"/>
        </w:numPr>
      </w:pPr>
      <w:r>
        <w:rPr>
          <w:b/>
          <w:bCs/>
        </w:rPr>
        <w:t xml:space="preserve">The timing and magnitude of the second-half production ramp;</w:t>
      </w:r>
    </w:p>
    <w:p>
      <w:pPr>
        <w:pStyle w:val="Compact"/>
        <w:numPr>
          <w:ilvl w:val="0"/>
          <w:numId w:val="1003"/>
        </w:numPr>
      </w:pPr>
      <w:r>
        <w:rPr>
          <w:b/>
          <w:bCs/>
        </w:rPr>
        <w:t xml:space="preserve">Lower 48 execution, especially Delaware Basin growth and completion efficiency;</w:t>
      </w:r>
    </w:p>
    <w:p>
      <w:pPr>
        <w:pStyle w:val="Compact"/>
        <w:numPr>
          <w:ilvl w:val="0"/>
          <w:numId w:val="1003"/>
        </w:numPr>
      </w:pPr>
      <w:r>
        <w:rPr>
          <w:b/>
          <w:bCs/>
        </w:rPr>
        <w:t xml:space="preserve">Whether Surmont royalty effects remain a headwind at current oil prices.</w:t>
      </w:r>
    </w:p>
    <w:p>
      <w:pPr>
        <w:pStyle w:val="FirstParagraph"/>
      </w:pPr>
      <w:r>
        <w:t xml:space="preserve">A reaffirmation of full-year production guidance would be constructive, but it will need to be supported by a credible explanation of the 2H ramp rather than simply repeated.</w:t>
      </w:r>
    </w:p>
    <w:p>
      <w:r>
        <w:pict>
          <v:rect style="width:0;height:1.5pt" o:hralign="center" o:hrstd="t" o:hr="t"/>
        </w:pict>
      </w:r>
    </w:p>
    <w:bookmarkEnd w:id="10"/>
    <w:bookmarkStart w:id="11" w:name="Xbf7ac146dea0264d2653585ef71bd590a7d6460"/>
    <w:p>
      <w:pPr>
        <w:pStyle w:val="Heading3"/>
      </w:pPr>
      <w:r>
        <w:t xml:space="preserve">2. Commodity-price realization and cash flow: COP has strong torque, but timing matters</w:t>
      </w:r>
    </w:p>
    <w:p>
      <w:pPr>
        <w:pStyle w:val="FirstParagraph"/>
      </w:pPr>
      <w:r>
        <w:t xml:space="preserve">COP is notably exposed to global pricing:</w:t>
      </w:r>
    </w:p>
    <w:p>
      <w:pPr>
        <w:pStyle w:val="Compact"/>
        <w:numPr>
          <w:ilvl w:val="0"/>
          <w:numId w:val="1004"/>
        </w:numPr>
      </w:pPr>
      <w:r>
        <w:t xml:space="preserve">About</w:t>
      </w:r>
      <w:r>
        <w:t xml:space="preserve"> </w:t>
      </w:r>
      <w:r>
        <w:rPr>
          <w:b/>
          <w:bCs/>
        </w:rPr>
        <w:t xml:space="preserve">40% of crude production</w:t>
      </w:r>
      <w:r>
        <w:t xml:space="preserve"> </w:t>
      </w:r>
      <w:r>
        <w:t xml:space="preserve">is linked to Alaska North Slope and international pricing markers, including ICE Brent and Dated Brent exposure.</w:t>
      </w:r>
    </w:p>
    <w:p>
      <w:pPr>
        <w:pStyle w:val="Compact"/>
        <w:numPr>
          <w:ilvl w:val="0"/>
          <w:numId w:val="1004"/>
        </w:numPr>
      </w:pPr>
      <w:r>
        <w:t xml:space="preserve">The company remains</w:t>
      </w:r>
      <w:r>
        <w:t xml:space="preserve"> </w:t>
      </w:r>
      <w:r>
        <w:rPr>
          <w:b/>
          <w:bCs/>
        </w:rPr>
        <w:t xml:space="preserve">unhedged on oil and LNG</w:t>
      </w:r>
      <w:r>
        <w:t xml:space="preserve">, increasing upside participation when prices rise.</w:t>
      </w:r>
    </w:p>
    <w:p>
      <w:pPr>
        <w:pStyle w:val="Compact"/>
        <w:numPr>
          <w:ilvl w:val="0"/>
          <w:numId w:val="1004"/>
        </w:numPr>
      </w:pPr>
      <w:r>
        <w:t xml:space="preserve">It also has a large Lower 48 base, where management cited approximately</w:t>
      </w:r>
      <w:r>
        <w:t xml:space="preserve"> </w:t>
      </w:r>
      <w:r>
        <w:rPr>
          <w:b/>
          <w:bCs/>
        </w:rPr>
        <w:t xml:space="preserve">98% WTI realization</w:t>
      </w:r>
      <w:r>
        <w:t xml:space="preserve"> </w:t>
      </w:r>
      <w:r>
        <w:t xml:space="preserve">in 1Q.</w:t>
      </w:r>
    </w:p>
    <w:p>
      <w:pPr>
        <w:pStyle w:val="FirstParagraph"/>
      </w:pPr>
      <w:r>
        <w:t xml:space="preserve">In 1Q26, COP realized</w:t>
      </w:r>
      <w:r>
        <w:t xml:space="preserve"> </w:t>
      </w:r>
      <m:oMath>
        <m:r>
          <m:t>73.47</m:t>
        </m:r>
        <m:r>
          <m:rPr>
            <m:sty m:val="p"/>
          </m:rPr>
          <m:t>/</m:t>
        </m:r>
        <m:r>
          <m:t>b</m:t>
        </m:r>
        <m:r>
          <m:t>b</m:t>
        </m:r>
        <m:r>
          <m:t>l</m:t>
        </m:r>
        <m:r>
          <m:t>o</m:t>
        </m:r>
        <m:r>
          <m:t>n</m:t>
        </m:r>
        <m:r>
          <m:t>t</m:t>
        </m:r>
        <m:r>
          <m:t>o</m:t>
        </m:r>
        <m:r>
          <m:t>t</m:t>
        </m:r>
        <m:r>
          <m:t>a</m:t>
        </m:r>
        <m:r>
          <m:t>l</m:t>
        </m:r>
        <m:r>
          <m:t>c</m:t>
        </m:r>
        <m:r>
          <m:t>r</m:t>
        </m:r>
        <m:r>
          <m:t>u</m:t>
        </m:r>
        <m:r>
          <m:t>d</m:t>
        </m:r>
        <m:r>
          <m:t>e</m:t>
        </m:r>
        <m:r>
          <m:rPr>
            <m:sty m:val="p"/>
          </m:rPr>
          <m:t>*</m:t>
        </m:r>
        <m:r>
          <m:rPr>
            <m:sty m:val="p"/>
          </m:rPr>
          <m:t>*</m:t>
        </m:r>
        <m:r>
          <m:rPr>
            <m:sty m:val="p"/>
          </m:rPr>
          <m:t>,</m:t>
        </m:r>
        <m:r>
          <m:rPr>
            <m:sty m:val="p"/>
          </m:rPr>
          <m:t>*</m:t>
        </m:r>
        <m:r>
          <m:rPr>
            <m:sty m:val="p"/>
          </m:rPr>
          <m:t>*</m:t>
        </m:r>
      </m:oMath>
      <w:r>
        <w:rPr>
          <w:b/>
          <w:bCs/>
        </w:rPr>
        <w:t xml:space="preserve">20.42/bbl on NGLs</w:t>
      </w:r>
      <w:r>
        <w:t xml:space="preserve">,</w:t>
      </w:r>
      <w:r>
        <w:t xml:space="preserve"> </w:t>
      </w:r>
      <m:oMath>
        <m:r>
          <m:t>4.09</m:t>
        </m:r>
        <m:r>
          <m:rPr>
            <m:sty m:val="p"/>
          </m:rPr>
          <m:t>/</m:t>
        </m:r>
        <m:r>
          <m:t>m</m:t>
        </m:r>
        <m:r>
          <m:t>c</m:t>
        </m:r>
        <m:r>
          <m:t>f</m:t>
        </m:r>
        <m:r>
          <m:t>o</m:t>
        </m:r>
        <m:r>
          <m:t>n</m:t>
        </m:r>
        <m:r>
          <m:t>t</m:t>
        </m:r>
        <m:r>
          <m:t>o</m:t>
        </m:r>
        <m:r>
          <m:t>t</m:t>
        </m:r>
        <m:r>
          <m:t>a</m:t>
        </m:r>
        <m:r>
          <m:t>l</m:t>
        </m:r>
        <m:r>
          <m:t>g</m:t>
        </m:r>
        <m:r>
          <m:t>a</m:t>
        </m:r>
        <m:r>
          <m:t>s</m:t>
        </m:r>
        <m:r>
          <m:rPr>
            <m:sty m:val="p"/>
          </m:rPr>
          <m:t>*</m:t>
        </m:r>
        <m:r>
          <m:rPr>
            <m:sty m:val="p"/>
          </m:rPr>
          <m:t>*</m:t>
        </m:r>
        <m:r>
          <m:rPr>
            <m:sty m:val="p"/>
          </m:rPr>
          <m:t>,</m:t>
        </m:r>
        <m:r>
          <m:t>a</m:t>
        </m:r>
        <m:r>
          <m:t>n</m:t>
        </m:r>
        <m:r>
          <m:t>d</m:t>
        </m:r>
        <m:r>
          <m:rPr>
            <m:sty m:val="p"/>
          </m:rPr>
          <m:t>*</m:t>
        </m:r>
        <m:r>
          <m:rPr>
            <m:sty m:val="p"/>
          </m:rPr>
          <m:t>*</m:t>
        </m:r>
      </m:oMath>
      <w:r>
        <w:rPr>
          <w:b/>
          <w:bCs/>
        </w:rPr>
        <w:t xml:space="preserve">50.36/BOE overall</w:t>
      </w:r>
      <w:r>
        <w:t xml:space="preserve">. The company emphasized that price movements can reach earnings before cash receipts because of sales timing and market-specific settlement lags.</w:t>
      </w:r>
    </w:p>
    <w:p>
      <w:pPr>
        <w:pStyle w:val="BodyText"/>
      </w:pPr>
      <w:r>
        <w:t xml:space="preserve">For 2Q, investors should assess:</w:t>
      </w:r>
    </w:p>
    <w:p>
      <w:pPr>
        <w:pStyle w:val="Compact"/>
        <w:numPr>
          <w:ilvl w:val="0"/>
          <w:numId w:val="1005"/>
        </w:numPr>
      </w:pPr>
      <w:r>
        <w:t xml:space="preserve">Realized price performance versus headline WTI/Brent;</w:t>
      </w:r>
    </w:p>
    <w:p>
      <w:pPr>
        <w:pStyle w:val="Compact"/>
        <w:numPr>
          <w:ilvl w:val="0"/>
          <w:numId w:val="1005"/>
        </w:numPr>
      </w:pPr>
      <w:r>
        <w:t xml:space="preserve">The mix effect from lower Qatar volumes;</w:t>
      </w:r>
    </w:p>
    <w:p>
      <w:pPr>
        <w:pStyle w:val="Compact"/>
        <w:numPr>
          <w:ilvl w:val="0"/>
          <w:numId w:val="1005"/>
        </w:numPr>
      </w:pPr>
      <w:r>
        <w:t xml:space="preserve">International versus Lower 48 pricing realization;</w:t>
      </w:r>
    </w:p>
    <w:p>
      <w:pPr>
        <w:pStyle w:val="Compact"/>
        <w:numPr>
          <w:ilvl w:val="0"/>
          <w:numId w:val="1005"/>
        </w:numPr>
      </w:pPr>
      <w:r>
        <w:t xml:space="preserve">CFO conversion, including working-capital movements; and</w:t>
      </w:r>
    </w:p>
    <w:p>
      <w:pPr>
        <w:pStyle w:val="Compact"/>
        <w:numPr>
          <w:ilvl w:val="0"/>
          <w:numId w:val="1005"/>
        </w:numPr>
      </w:pPr>
      <w:r>
        <w:t xml:space="preserve">Whether management updates its view of cash generation under the current commodity-price environment.</w:t>
      </w:r>
    </w:p>
    <w:p>
      <w:pPr>
        <w:pStyle w:val="FirstParagraph"/>
      </w:pPr>
      <w:r>
        <w:t xml:space="preserve">This is especially important because the current oil market is being shaped by disruptions around the Strait of Hormuz. Recent developments toward reopening shipping are potentially constructive for physical flows, but they also make the near-term oil-price outlook—and COP’s Qatar recovery timing—less predictable.</w:t>
      </w:r>
    </w:p>
    <w:p>
      <w:r>
        <w:pict>
          <v:rect style="width:0;height:1.5pt" o:hralign="center" o:hrstd="t" o:hr="t"/>
        </w:pict>
      </w:r>
    </w:p>
    <w:bookmarkEnd w:id="11"/>
    <w:bookmarkStart w:id="12" w:name="Xba0bd354ecd936f56fa1fd50231691d8c43c8a4"/>
    <w:p>
      <w:pPr>
        <w:pStyle w:val="Heading3"/>
      </w:pPr>
      <w:r>
        <w:t xml:space="preserve">3. Capital discipline: watch for a tighter range, not necessarily a lower number</w:t>
      </w:r>
    </w:p>
    <w:p>
      <w:pPr>
        <w:pStyle w:val="FirstParagraph"/>
      </w:pPr>
      <w:r>
        <w:t xml:space="preserve">In April, COP lifted 2026 capital guidance from about</w:t>
      </w:r>
      <w:r>
        <w:t xml:space="preserve"> </w:t>
      </w:r>
      <m:oMath>
        <m:r>
          <m:t>12</m:t>
        </m:r>
        <m:r>
          <m:t>b</m:t>
        </m:r>
        <m:r>
          <m:t>i</m:t>
        </m:r>
        <m:r>
          <m:t>l</m:t>
        </m:r>
        <m:r>
          <m:t>l</m:t>
        </m:r>
        <m:r>
          <m:t>i</m:t>
        </m:r>
        <m:r>
          <m:t>o</m:t>
        </m:r>
        <m:r>
          <m:t>n</m:t>
        </m:r>
        <m:r>
          <m:rPr>
            <m:sty m:val="p"/>
          </m:rPr>
          <m:t>*</m:t>
        </m:r>
        <m:r>
          <m:rPr>
            <m:sty m:val="p"/>
          </m:rPr>
          <m:t>*</m:t>
        </m:r>
        <m:r>
          <m:t>t</m:t>
        </m:r>
        <m:r>
          <m:t>o</m:t>
        </m:r>
        <m:r>
          <m:rPr>
            <m:sty m:val="p"/>
          </m:rPr>
          <m:t>*</m:t>
        </m:r>
        <m:r>
          <m:rPr>
            <m:sty m:val="p"/>
          </m:rPr>
          <m:t>*</m:t>
        </m:r>
      </m:oMath>
      <w:r>
        <w:rPr>
          <w:b/>
          <w:bCs/>
        </w:rPr>
        <w:t xml:space="preserve">12.0–</w:t>
      </w:r>
      <m:oMath>
        <m:r>
          <m:t>12.5</m:t>
        </m:r>
        <m:r>
          <m:t>b</m:t>
        </m:r>
        <m:r>
          <m:t>i</m:t>
        </m:r>
        <m:r>
          <m:t>l</m:t>
        </m:r>
        <m:r>
          <m:t>l</m:t>
        </m:r>
        <m:r>
          <m:t>i</m:t>
        </m:r>
        <m:r>
          <m:t>o</m:t>
        </m:r>
        <m:r>
          <m:t>n</m:t>
        </m:r>
        <m:r>
          <m:rPr>
            <m:sty m:val="p"/>
          </m:rPr>
          <m:t>*</m:t>
        </m:r>
        <m:r>
          <m:rPr>
            <m:sty m:val="p"/>
          </m:rPr>
          <m:t>*</m:t>
        </m:r>
        <m:r>
          <m:rPr>
            <m:sty m:val="p"/>
          </m:rPr>
          <m:t>.</m:t>
        </m:r>
        <m:r>
          <m:t>T</m:t>
        </m:r>
        <m:r>
          <m:t>h</m:t>
        </m:r>
        <m:r>
          <m:t>e</m:t>
        </m:r>
        <m:r>
          <m:t>c</m:t>
        </m:r>
        <m:r>
          <m:t>h</m:t>
        </m:r>
        <m:r>
          <m:t>a</m:t>
        </m:r>
        <m:r>
          <m:t>n</m:t>
        </m:r>
        <m:r>
          <m:t>g</m:t>
        </m:r>
        <m:r>
          <m:t>e</m:t>
        </m:r>
        <m:r>
          <m:t>w</m:t>
        </m:r>
        <m:r>
          <m:t>a</m:t>
        </m:r>
        <m:r>
          <m:t>s</m:t>
        </m:r>
        <m:r>
          <m:t>m</m:t>
        </m:r>
        <m:r>
          <m:t>o</m:t>
        </m:r>
        <m:r>
          <m:t>d</m:t>
        </m:r>
        <m:r>
          <m:t>e</m:t>
        </m:r>
        <m:r>
          <m:t>s</m:t>
        </m:r>
        <m:r>
          <m:t>t</m:t>
        </m:r>
        <m:r>
          <m:t>a</m:t>
        </m:r>
        <m:r>
          <m:t>t</m:t>
        </m:r>
        <m:r>
          <m:t>t</m:t>
        </m:r>
        <m:r>
          <m:t>h</m:t>
        </m:r>
        <m:r>
          <m:t>e</m:t>
        </m:r>
        <m:r>
          <m:t>m</m:t>
        </m:r>
        <m:r>
          <m:t>i</m:t>
        </m:r>
        <m:r>
          <m:t>d</m:t>
        </m:r>
        <m:r>
          <m:t>p</m:t>
        </m:r>
        <m:r>
          <m:t>o</m:t>
        </m:r>
        <m:r>
          <m:t>i</m:t>
        </m:r>
        <m:r>
          <m:t>n</m:t>
        </m:r>
        <m:r>
          <m:t>t</m:t>
        </m:r>
        <m:r>
          <m:rPr>
            <m:sty m:val="p"/>
          </m:rPr>
          <m:t>—</m:t>
        </m:r>
        <m:r>
          <m:t>a</m:t>
        </m:r>
        <m:r>
          <m:t>b</m:t>
        </m:r>
        <m:r>
          <m:t>o</m:t>
        </m:r>
        <m:r>
          <m:t>u</m:t>
        </m:r>
        <m:r>
          <m:t>t</m:t>
        </m:r>
        <m:r>
          <m:rPr>
            <m:sty m:val="p"/>
          </m:rPr>
          <m:t>*</m:t>
        </m:r>
        <m:r>
          <m:rPr>
            <m:sty m:val="p"/>
          </m:rPr>
          <m:t>*</m:t>
        </m:r>
      </m:oMath>
      <w:r>
        <w:rPr>
          <w:b/>
          <w:bCs/>
        </w:rPr>
        <w:t xml:space="preserve">250 million</w:t>
      </w:r>
      <w:r>
        <w:t xml:space="preserve">—and was driven primarily by:</w:t>
      </w:r>
    </w:p>
    <w:p>
      <w:pPr>
        <w:pStyle w:val="Compact"/>
        <w:numPr>
          <w:ilvl w:val="0"/>
          <w:numId w:val="1006"/>
        </w:numPr>
      </w:pPr>
      <w:r>
        <w:t xml:space="preserve">One additional Permian rig to keep pace with completion efficiency;</w:t>
      </w:r>
    </w:p>
    <w:p>
      <w:pPr>
        <w:pStyle w:val="Compact"/>
        <w:numPr>
          <w:ilvl w:val="0"/>
          <w:numId w:val="1006"/>
        </w:numPr>
      </w:pPr>
      <w:r>
        <w:t xml:space="preserve">Higher expected non-operated Lower 48 spending; and</w:t>
      </w:r>
    </w:p>
    <w:p>
      <w:pPr>
        <w:pStyle w:val="Compact"/>
        <w:numPr>
          <w:ilvl w:val="0"/>
          <w:numId w:val="1006"/>
        </w:numPr>
      </w:pPr>
      <w:r>
        <w:t xml:space="preserve">Uncertainty around timing of North Field East and North Field South spending in Qatar.</w:t>
      </w:r>
    </w:p>
    <w:p>
      <w:pPr>
        <w:pStyle w:val="FirstParagraph"/>
      </w:pPr>
      <w:r>
        <w:t xml:space="preserve">Management framed the added Permian activity as protecting operating continuity into 2027, not as a broad-based decision to chase higher oil prices. That distinction is important: COP’s premium valuation depends on keeping reinvestment disciplined while preserving its inventory quality and operational momentum.</w:t>
      </w:r>
    </w:p>
    <w:p>
      <w:pPr>
        <w:pStyle w:val="BodyText"/>
      </w:pPr>
      <w:r>
        <w:rPr>
          <w:b/>
          <w:bCs/>
        </w:rPr>
        <w:t xml:space="preserve">Key read-through:</w:t>
      </w:r>
    </w:p>
    <w:p>
      <w:pPr>
        <w:pStyle w:val="Compact"/>
        <w:numPr>
          <w:ilvl w:val="0"/>
          <w:numId w:val="1007"/>
        </w:numPr>
      </w:pPr>
      <w:r>
        <w:rPr>
          <w:b/>
          <w:bCs/>
        </w:rPr>
        <w:t xml:space="preserve">Positive:</w:t>
      </w:r>
      <w:r>
        <w:t xml:space="preserve"> </w:t>
      </w:r>
      <w:r>
        <w:t xml:space="preserve">Capex remains within the existing range, with clearer project timing and no broader inflation signal.</w:t>
      </w:r>
    </w:p>
    <w:p>
      <w:pPr>
        <w:pStyle w:val="Compact"/>
        <w:numPr>
          <w:ilvl w:val="0"/>
          <w:numId w:val="1007"/>
        </w:numPr>
      </w:pPr>
      <w:r>
        <w:rPr>
          <w:b/>
          <w:bCs/>
        </w:rPr>
        <w:t xml:space="preserve">Negative:</w:t>
      </w:r>
      <w:r>
        <w:t xml:space="preserve"> </w:t>
      </w:r>
      <w:r>
        <w:t xml:space="preserve">A higher capex range or vague commentary around non-op activity, Qatar project timing, or service costs could lead investors to question whether higher commodity prices are being reinvested rather than returned.</w:t>
      </w:r>
    </w:p>
    <w:p>
      <w:r>
        <w:pict>
          <v:rect style="width:0;height:1.5pt" o:hralign="center" o:hrstd="t" o:hr="t"/>
        </w:pict>
      </w:r>
    </w:p>
    <w:bookmarkEnd w:id="12"/>
    <w:bookmarkStart w:id="13" w:name="Xa60e00301be2f42ccaab5c571fae8cb77451b80"/>
    <w:p>
      <w:pPr>
        <w:pStyle w:val="Heading3"/>
      </w:pPr>
      <w:r>
        <w:t xml:space="preserve">4. Costs: a potential upside lever</w:t>
      </w:r>
    </w:p>
    <w:p>
      <w:pPr>
        <w:pStyle w:val="FirstParagraph"/>
      </w:pPr>
      <w:r>
        <w:t xml:space="preserve">COP retained full-year operating-cost guidance of</w:t>
      </w:r>
      <w:r>
        <w:t xml:space="preserve"> </w:t>
      </w:r>
      <m:oMath>
        <m:r>
          <m:t>10.2</m:t>
        </m:r>
        <m:r>
          <m:t>b</m:t>
        </m:r>
        <m:r>
          <m:t>i</m:t>
        </m:r>
        <m:r>
          <m:t>l</m:t>
        </m:r>
        <m:r>
          <m:t>l</m:t>
        </m:r>
        <m:r>
          <m:t>i</m:t>
        </m:r>
        <m:r>
          <m:t>o</m:t>
        </m:r>
        <m:r>
          <m:t>n</m:t>
        </m:r>
        <m:r>
          <m:rPr>
            <m:sty m:val="p"/>
          </m:rPr>
          <m:t>*</m:t>
        </m:r>
        <m:r>
          <m:rPr>
            <m:sty m:val="p"/>
          </m:rPr>
          <m:t>*</m:t>
        </m:r>
        <m:r>
          <m:rPr>
            <m:sty m:val="p"/>
          </m:rPr>
          <m:t>,</m:t>
        </m:r>
        <m:r>
          <m:t>d</m:t>
        </m:r>
        <m:r>
          <m:t>o</m:t>
        </m:r>
        <m:r>
          <m:t>w</m:t>
        </m:r>
        <m:r>
          <m:t>n</m:t>
        </m:r>
        <m:r>
          <m:rPr>
            <m:sty m:val="p"/>
          </m:rPr>
          <m:t>*</m:t>
        </m:r>
        <m:r>
          <m:rPr>
            <m:sty m:val="p"/>
          </m:rPr>
          <m:t>*</m:t>
        </m:r>
      </m:oMath>
      <w:r>
        <w:rPr>
          <w:b/>
          <w:bCs/>
        </w:rPr>
        <w:t xml:space="preserve">400 million from 2025</w:t>
      </w:r>
      <w:r>
        <w:t xml:space="preserve">, while targeting a</w:t>
      </w:r>
      <w:r>
        <w:t xml:space="preserve"> </w:t>
      </w:r>
      <w:r>
        <w:rPr>
          <w:b/>
          <w:bCs/>
        </w:rPr>
        <w:t xml:space="preserve">$1 billion annualized cost-reduction and margin-enhancement run rate by year-end</w:t>
      </w:r>
      <w:r>
        <w:t xml:space="preserve">.</w:t>
      </w:r>
    </w:p>
    <w:p>
      <w:pPr>
        <w:pStyle w:val="BodyText"/>
      </w:pPr>
      <w:r>
        <w:t xml:space="preserve">The 1Q result was encouraging: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1Q25</w:t>
            </w:r>
          </w:p>
        </w:tc>
      </w:tr>
      <w:tr>
        <w:tc>
          <w:tcPr/>
          <w:p>
            <w:pPr>
              <w:pStyle w:val="Compact"/>
            </w:pPr>
            <w:r>
              <w:t xml:space="preserve">Production and operating expenses</w:t>
            </w:r>
          </w:p>
        </w:tc>
        <w:tc>
          <w:tcPr/>
          <w:p>
            <w:pPr>
              <w:pStyle w:val="Compact"/>
              <w:jc w:val="right"/>
            </w:pPr>
            <w:r>
              <w:t xml:space="preserve">$2.276B</w:t>
            </w:r>
          </w:p>
        </w:tc>
        <w:tc>
          <w:tcPr/>
          <w:p>
            <w:pPr>
              <w:pStyle w:val="Compact"/>
              <w:jc w:val="right"/>
            </w:pPr>
            <w:r>
              <w:t xml:space="preserve">$2.506B</w:t>
            </w:r>
          </w:p>
        </w:tc>
      </w:tr>
      <w:tr>
        <w:tc>
          <w:tcPr/>
          <w:p>
            <w:pPr>
              <w:pStyle w:val="Compact"/>
            </w:pPr>
            <w:r>
              <w:t xml:space="preserve">Adjusted earnings</w:t>
            </w:r>
          </w:p>
        </w:tc>
        <w:tc>
          <w:tcPr/>
          <w:p>
            <w:pPr>
              <w:pStyle w:val="Compact"/>
              <w:jc w:val="right"/>
            </w:pPr>
            <w:r>
              <w:t xml:space="preserve">$2.324B</w:t>
            </w:r>
          </w:p>
        </w:tc>
        <w:tc>
          <w:tcPr/>
          <w:p>
            <w:pPr>
              <w:pStyle w:val="Compact"/>
              <w:jc w:val="right"/>
            </w:pPr>
            <w:r>
              <w:t xml:space="preserve">$2.679B</w:t>
            </w:r>
          </w:p>
        </w:tc>
      </w:tr>
      <w:tr>
        <w:tc>
          <w:tcPr/>
          <w:p>
            <w:pPr>
              <w:pStyle w:val="Compact"/>
            </w:pPr>
            <w:r>
              <w:t xml:space="preserve">Cash from operations, excluding working-capital effects</w:t>
            </w:r>
          </w:p>
        </w:tc>
        <w:tc>
          <w:tcPr/>
          <w:p>
            <w:pPr>
              <w:pStyle w:val="Compact"/>
              <w:jc w:val="right"/>
            </w:pPr>
            <w:r>
              <w:t xml:space="preserve">$5.387B</w:t>
            </w:r>
          </w:p>
        </w:tc>
        <w:tc>
          <w:tcPr/>
          <w:p>
            <w:pPr>
              <w:pStyle w:val="Compact"/>
              <w:jc w:val="right"/>
            </w:pPr>
            <w:r>
              <w:t xml:space="preserve">—</w:t>
            </w:r>
          </w:p>
        </w:tc>
      </w:tr>
      <w:tr>
        <w:tc>
          <w:tcPr/>
          <w:p>
            <w:pPr>
              <w:pStyle w:val="Compact"/>
            </w:pPr>
            <w:r>
              <w:t xml:space="preserve">Capital expenditures and investments</w:t>
            </w:r>
          </w:p>
        </w:tc>
        <w:tc>
          <w:tcPr/>
          <w:p>
            <w:pPr>
              <w:pStyle w:val="Compact"/>
              <w:jc w:val="right"/>
            </w:pPr>
            <w:r>
              <w:t xml:space="preserve">$2.948B</w:t>
            </w:r>
          </w:p>
        </w:tc>
        <w:tc>
          <w:tcPr/>
          <w:p>
            <w:pPr>
              <w:pStyle w:val="Compact"/>
              <w:jc w:val="right"/>
            </w:pPr>
            <w:r>
              <w:t xml:space="preserve">$3.378B</w:t>
            </w:r>
          </w:p>
        </w:tc>
      </w:tr>
    </w:tbl>
    <w:p>
      <w:pPr>
        <w:pStyle w:val="BodyText"/>
      </w:pPr>
      <w:r>
        <w:t xml:space="preserve">Management said cost reductions were arriving faster than planned but chose not to lower annual guidance after only one quarter.</w:t>
      </w:r>
    </w:p>
    <w:p>
      <w:pPr>
        <w:pStyle w:val="BodyText"/>
      </w:pPr>
      <w:r>
        <w:t xml:space="preserve">For the 2Q release, a cost-guidance reduction would be a material positive, but even a reaffirmation accompanied by another strong quarterly cost outcome should support the equity story. Conversely, any reversal in Lower 48 lease operating costs, inflation in Alaska or project-related cost pressure would matter disproportionately because the market is underwriting COP as a leading free-cash-flow compounder.</w:t>
      </w:r>
    </w:p>
    <w:p>
      <w:r>
        <w:pict>
          <v:rect style="width:0;height:1.5pt" o:hralign="center" o:hrstd="t" o:hr="t"/>
        </w:pict>
      </w:r>
    </w:p>
    <w:bookmarkEnd w:id="13"/>
    <w:bookmarkEnd w:id="14"/>
    <w:bookmarkStart w:id="17" w:name="strategic-assets-to-monitor"/>
    <w:p>
      <w:pPr>
        <w:pStyle w:val="Heading2"/>
      </w:pPr>
      <w:r>
        <w:t xml:space="preserve">Strategic assets to monitor</w:t>
      </w:r>
    </w:p>
    <w:bookmarkStart w:id="15" w:name="Xd087884d3730aee525919ec259f71d0a5fd76b7"/>
    <w:p>
      <w:pPr>
        <w:pStyle w:val="Heading3"/>
      </w:pPr>
      <w:r>
        <w:t xml:space="preserve">Willow: execution remains on track, but it is a 2029 story</w:t>
      </w:r>
    </w:p>
    <w:p>
      <w:pPr>
        <w:pStyle w:val="FirstParagraph"/>
      </w:pPr>
      <w:r>
        <w:t xml:space="preserve">COP reported Willow at</w:t>
      </w:r>
      <w:r>
        <w:t xml:space="preserve"> </w:t>
      </w:r>
      <w:r>
        <w:rPr>
          <w:b/>
          <w:bCs/>
        </w:rPr>
        <w:t xml:space="preserve">50% complete</w:t>
      </w:r>
      <w:r>
        <w:t xml:space="preserve"> </w:t>
      </w:r>
      <w:r>
        <w:t xml:space="preserve">after a successful winter construction season. It completed the planned gravel, roads, pads, bridges, and airstrip work, while process-module fabrication was also slightly more than 50% complete. Management continues to target</w:t>
      </w:r>
      <w:r>
        <w:t xml:space="preserve"> </w:t>
      </w:r>
      <w:r>
        <w:rPr>
          <w:b/>
          <w:bCs/>
        </w:rPr>
        <w:t xml:space="preserve">first oil in 2029</w:t>
      </w:r>
      <w:r>
        <w:t xml:space="preserve">.</w:t>
      </w:r>
    </w:p>
    <w:p>
      <w:pPr>
        <w:pStyle w:val="BodyText"/>
      </w:pPr>
      <w:r>
        <w:t xml:space="preserve">The earnings call should offer a useful checkpoint on:</w:t>
      </w:r>
    </w:p>
    <w:p>
      <w:pPr>
        <w:pStyle w:val="Compact"/>
        <w:numPr>
          <w:ilvl w:val="0"/>
          <w:numId w:val="1008"/>
        </w:numPr>
      </w:pPr>
      <w:r>
        <w:t xml:space="preserve">Summer construction progress;</w:t>
      </w:r>
    </w:p>
    <w:p>
      <w:pPr>
        <w:pStyle w:val="Compact"/>
        <w:numPr>
          <w:ilvl w:val="0"/>
          <w:numId w:val="1008"/>
        </w:numPr>
      </w:pPr>
      <w:r>
        <w:t xml:space="preserve">Module fabrication and planned 2027 sealift timing;</w:t>
      </w:r>
    </w:p>
    <w:p>
      <w:pPr>
        <w:pStyle w:val="Compact"/>
        <w:numPr>
          <w:ilvl w:val="0"/>
          <w:numId w:val="1008"/>
        </w:numPr>
      </w:pPr>
      <w:r>
        <w:t xml:space="preserve">Cost and schedule adherence; and</w:t>
      </w:r>
    </w:p>
    <w:p>
      <w:pPr>
        <w:pStyle w:val="Compact"/>
        <w:numPr>
          <w:ilvl w:val="0"/>
          <w:numId w:val="1008"/>
        </w:numPr>
      </w:pPr>
      <w:r>
        <w:t xml:space="preserve">Results from the Alaska exploration/appraisal program intended to keep broader Willow-area infrastructure supplied over time.</w:t>
      </w:r>
    </w:p>
    <w:p>
      <w:pPr>
        <w:pStyle w:val="FirstParagraph"/>
      </w:pPr>
      <w:r>
        <w:t xml:space="preserve">Willow is not a near-term earnings driver, but schedule discipline is essential to COP’s long-term free-cash-flow framework.</w:t>
      </w:r>
    </w:p>
    <w:bookmarkEnd w:id="15"/>
    <w:bookmarkStart w:id="16" w:name="X9d5df41a6002801e4609631f1b4d89efbae0ef8"/>
    <w:p>
      <w:pPr>
        <w:pStyle w:val="Heading3"/>
      </w:pPr>
      <w:r>
        <w:t xml:space="preserve">LNG: upside is real, but Qatar timing is the swing factor</w:t>
      </w:r>
    </w:p>
    <w:p>
      <w:pPr>
        <w:pStyle w:val="FirstParagraph"/>
      </w:pPr>
      <w:r>
        <w:t xml:space="preserve">COP’s LNG exposure is becoming more strategically important:</w:t>
      </w:r>
    </w:p>
    <w:p>
      <w:pPr>
        <w:pStyle w:val="Compact"/>
        <w:numPr>
          <w:ilvl w:val="0"/>
          <w:numId w:val="1009"/>
        </w:numPr>
      </w:pPr>
      <w:r>
        <w:rPr>
          <w:b/>
          <w:bCs/>
        </w:rPr>
        <w:t xml:space="preserve">Port Arthur LNG Phase 1</w:t>
      </w:r>
      <w:r>
        <w:t xml:space="preserve"> </w:t>
      </w:r>
      <w:r>
        <w:t xml:space="preserve">remains on track for first LNG in 2027.</w:t>
      </w:r>
    </w:p>
    <w:p>
      <w:pPr>
        <w:pStyle w:val="Compact"/>
        <w:numPr>
          <w:ilvl w:val="0"/>
          <w:numId w:val="1009"/>
        </w:numPr>
      </w:pPr>
      <w:r>
        <w:t xml:space="preserve">The company has commercial LNG offtake capacity and has placed an initial 5 million tonnes predominantly into Europe, with additional volumes still available for marketing.</w:t>
      </w:r>
    </w:p>
    <w:p>
      <w:pPr>
        <w:pStyle w:val="Compact"/>
        <w:numPr>
          <w:ilvl w:val="0"/>
          <w:numId w:val="1009"/>
        </w:numPr>
      </w:pPr>
      <w:r>
        <w:t xml:space="preserve">A new Equatorial Guinea tolling agreement extends the EG LNG facility’s operating life well into the 2030s.</w:t>
      </w:r>
    </w:p>
    <w:p>
      <w:pPr>
        <w:pStyle w:val="Compact"/>
        <w:numPr>
          <w:ilvl w:val="0"/>
          <w:numId w:val="1009"/>
        </w:numPr>
      </w:pPr>
      <w:r>
        <w:t xml:space="preserve">Qatar remains the complication: COP’s Qatar production was roughly</w:t>
      </w:r>
      <w:r>
        <w:t xml:space="preserve"> </w:t>
      </w:r>
      <w:r>
        <w:rPr>
          <w:b/>
          <w:bCs/>
        </w:rPr>
        <w:t xml:space="preserve">80 MBOED</w:t>
      </w:r>
      <w:r>
        <w:t xml:space="preserve">, or approximately</w:t>
      </w:r>
      <w:r>
        <w:t xml:space="preserve"> </w:t>
      </w:r>
      <w:r>
        <w:rPr>
          <w:b/>
          <w:bCs/>
        </w:rPr>
        <w:t xml:space="preserve">3% of company output</w:t>
      </w:r>
      <w:r>
        <w:t xml:space="preserve">, before the disruption.</w:t>
      </w:r>
    </w:p>
    <w:p>
      <w:pPr>
        <w:pStyle w:val="FirstParagraph"/>
      </w:pPr>
      <w:r>
        <w:t xml:space="preserve">Management previously indicated that QatarEnergy’s North Field expansion construction was progressing, but delays of months were possible. The key question is whether recent progress on shipping through Hormuz improves COP’s outlook for production, LNG cargoes, project spending, and North Field timing.</w:t>
      </w:r>
    </w:p>
    <w:p>
      <w:r>
        <w:pict>
          <v:rect style="width:0;height:1.5pt" o:hralign="center" o:hrstd="t" o:hr="t"/>
        </w:pict>
      </w:r>
    </w:p>
    <w:bookmarkEnd w:id="16"/>
    <w:bookmarkEnd w:id="17"/>
    <w:bookmarkStart w:id="18" w:name="X7be2bcd83204969a73c428a2ff5a14229e303bd"/>
    <w:p>
      <w:pPr>
        <w:pStyle w:val="Heading2"/>
      </w:pPr>
      <w:r>
        <w:t xml:space="preserve">Capital returns and balance sheet: the floor beneath the equity thesis</w:t>
      </w:r>
    </w:p>
    <w:p>
      <w:pPr>
        <w:pStyle w:val="FirstParagraph"/>
      </w:pPr>
      <w:r>
        <w:t xml:space="preserve">COP’s capital-return framework remains a differentiator. Management is targeting return of</w:t>
      </w:r>
      <w:r>
        <w:t xml:space="preserve"> </w:t>
      </w:r>
      <w:r>
        <w:rPr>
          <w:b/>
          <w:bCs/>
        </w:rPr>
        <w:t xml:space="preserve">45% of CFO</w:t>
      </w:r>
      <w:r>
        <w:t xml:space="preserve"> </w:t>
      </w:r>
      <w:r>
        <w:t xml:space="preserve">to shareholders in 2026, through dividends and repurchases, while maintaining an investment-grade balance sheet.</w:t>
      </w:r>
    </w:p>
    <w:p>
      <w:pPr>
        <w:pStyle w:val="BodyText"/>
      </w:pPr>
      <w:r>
        <w:t xml:space="preserve">In 1Q26, COP:</w:t>
      </w:r>
    </w:p>
    <w:p>
      <w:pPr>
        <w:pStyle w:val="Compact"/>
        <w:numPr>
          <w:ilvl w:val="0"/>
          <w:numId w:val="1010"/>
        </w:numPr>
      </w:pPr>
      <w:r>
        <w:t xml:space="preserve">Generated</w:t>
      </w:r>
      <w:r>
        <w:t xml:space="preserve"> </w:t>
      </w:r>
      <w:r>
        <w:rPr>
          <w:b/>
          <w:bCs/>
        </w:rPr>
        <w:t xml:space="preserve">$5.4 billion</w:t>
      </w:r>
      <w:r>
        <w:t xml:space="preserve"> </w:t>
      </w:r>
      <w:r>
        <w:t xml:space="preserve">of CFO excluding working-capital effects;</w:t>
      </w:r>
    </w:p>
    <w:p>
      <w:pPr>
        <w:pStyle w:val="Compact"/>
        <w:numPr>
          <w:ilvl w:val="0"/>
          <w:numId w:val="1010"/>
        </w:numPr>
      </w:pPr>
      <w:r>
        <w:t xml:space="preserve">Spent</w:t>
      </w:r>
      <w:r>
        <w:t xml:space="preserve"> </w:t>
      </w:r>
      <w:r>
        <w:rPr>
          <w:b/>
          <w:bCs/>
        </w:rPr>
        <w:t xml:space="preserve">$2.9 billion</w:t>
      </w:r>
      <w:r>
        <w:t xml:space="preserve"> </w:t>
      </w:r>
      <w:r>
        <w:t xml:space="preserve">on capital;</w:t>
      </w:r>
    </w:p>
    <w:p>
      <w:pPr>
        <w:pStyle w:val="Compact"/>
        <w:numPr>
          <w:ilvl w:val="0"/>
          <w:numId w:val="1010"/>
        </w:numPr>
      </w:pPr>
      <w:r>
        <w:t xml:space="preserve">Returned **</w:t>
      </w:r>
      <m:oMath>
        <m:r>
          <m:t>2.0</m:t>
        </m:r>
        <m:r>
          <m:t>b</m:t>
        </m:r>
        <m:r>
          <m:t>i</m:t>
        </m:r>
        <m:r>
          <m:t>l</m:t>
        </m:r>
        <m:r>
          <m:t>l</m:t>
        </m:r>
        <m:r>
          <m:t>i</m:t>
        </m:r>
        <m:r>
          <m:t>o</m:t>
        </m:r>
        <m:r>
          <m:t>n</m:t>
        </m:r>
        <m:r>
          <m:rPr>
            <m:sty m:val="p"/>
          </m:rPr>
          <m:t>*</m:t>
        </m:r>
        <m:r>
          <m:rPr>
            <m:sty m:val="p"/>
          </m:rPr>
          <m:t>*</m:t>
        </m:r>
        <m:r>
          <m:t>t</m:t>
        </m:r>
        <m:r>
          <m:t>o</m:t>
        </m:r>
        <m:r>
          <m:t>s</m:t>
        </m:r>
        <m:r>
          <m:t>h</m:t>
        </m:r>
        <m:r>
          <m:t>a</m:t>
        </m:r>
        <m:r>
          <m:t>r</m:t>
        </m:r>
        <m:r>
          <m:t>e</m:t>
        </m:r>
        <m:r>
          <m:t>h</m:t>
        </m:r>
        <m:r>
          <m:t>o</m:t>
        </m:r>
        <m:r>
          <m:t>l</m:t>
        </m:r>
        <m:r>
          <m:t>d</m:t>
        </m:r>
        <m:r>
          <m:t>e</m:t>
        </m:r>
        <m:r>
          <m:t>r</m:t>
        </m:r>
        <m:r>
          <m:t>s</m:t>
        </m:r>
        <m:r>
          <m:rPr>
            <m:sty m:val="p"/>
          </m:rPr>
          <m:t>—</m:t>
        </m:r>
      </m:oMath>
      <w:r>
        <w:t xml:space="preserve">1.0 billion of buybacks and $1.0 billion in dividends;</w:t>
      </w:r>
    </w:p>
    <w:p>
      <w:pPr>
        <w:pStyle w:val="Compact"/>
        <w:numPr>
          <w:ilvl w:val="0"/>
          <w:numId w:val="1010"/>
        </w:numPr>
      </w:pPr>
      <w:r>
        <w:t xml:space="preserve">Declared a quarterly ordinary dividend of</w:t>
      </w:r>
      <w:r>
        <w:t xml:space="preserve"> </w:t>
      </w:r>
      <w:r>
        <w:rPr>
          <w:b/>
          <w:bCs/>
        </w:rPr>
        <w:t xml:space="preserve">$0.84 per share</w:t>
      </w:r>
      <w:r>
        <w:t xml:space="preserve">; and</w:t>
      </w:r>
    </w:p>
    <w:p>
      <w:pPr>
        <w:pStyle w:val="Compact"/>
        <w:numPr>
          <w:ilvl w:val="0"/>
          <w:numId w:val="1010"/>
        </w:numPr>
      </w:pPr>
      <w:r>
        <w:t xml:space="preserve">Ended the quarter with</w:t>
      </w:r>
      <w:r>
        <w:t xml:space="preserve"> </w:t>
      </w:r>
      <m:oMath>
        <m:r>
          <m:t>6.7</m:t>
        </m:r>
        <m:r>
          <m:t>b</m:t>
        </m:r>
        <m:r>
          <m:t>i</m:t>
        </m:r>
        <m:r>
          <m:t>l</m:t>
        </m:r>
        <m:r>
          <m:t>l</m:t>
        </m:r>
        <m:r>
          <m:t>i</m:t>
        </m:r>
        <m:r>
          <m:t>o</m:t>
        </m:r>
        <m:r>
          <m:t>n</m:t>
        </m:r>
        <m:r>
          <m:rPr>
            <m:sty m:val="p"/>
          </m:rPr>
          <m:t>*</m:t>
        </m:r>
        <m:r>
          <m:rPr>
            <m:sty m:val="p"/>
          </m:rPr>
          <m:t>*</m:t>
        </m:r>
        <m:r>
          <m:t>o</m:t>
        </m:r>
        <m:r>
          <m:t>f</m:t>
        </m:r>
        <m:r>
          <m:t>c</m:t>
        </m:r>
        <m:r>
          <m:t>a</m:t>
        </m:r>
        <m:r>
          <m:t>s</m:t>
        </m:r>
        <m:r>
          <m:t>h</m:t>
        </m:r>
        <m:r>
          <m:t>a</m:t>
        </m:r>
        <m:r>
          <m:t>n</m:t>
        </m:r>
        <m:r>
          <m:t>d</m:t>
        </m:r>
        <m:r>
          <m:t>s</m:t>
        </m:r>
        <m:r>
          <m:t>h</m:t>
        </m:r>
        <m:r>
          <m:t>o</m:t>
        </m:r>
        <m:r>
          <m:t>r</m:t>
        </m:r>
        <m:r>
          <m:t>t</m:t>
        </m:r>
        <m:r>
          <m:rPr>
            <m:sty m:val="p"/>
          </m:rPr>
          <m:t>−</m:t>
        </m:r>
        <m:r>
          <m:t>t</m:t>
        </m:r>
        <m:r>
          <m:t>e</m:t>
        </m:r>
        <m:r>
          <m:t>r</m:t>
        </m:r>
        <m:r>
          <m:t>m</m:t>
        </m:r>
        <m:r>
          <m:t>i</m:t>
        </m:r>
        <m:r>
          <m:t>n</m:t>
        </m:r>
        <m:r>
          <m:t>v</m:t>
        </m:r>
        <m:r>
          <m:t>e</m:t>
        </m:r>
        <m:r>
          <m:t>s</m:t>
        </m:r>
        <m:r>
          <m:t>t</m:t>
        </m:r>
        <m:r>
          <m:t>m</m:t>
        </m:r>
        <m:r>
          <m:t>e</m:t>
        </m:r>
        <m:r>
          <m:t>n</m:t>
        </m:r>
        <m:r>
          <m:t>t</m:t>
        </m:r>
        <m:r>
          <m:t>s</m:t>
        </m:r>
        <m:r>
          <m:rPr>
            <m:sty m:val="p"/>
          </m:rPr>
          <m:t>,</m:t>
        </m:r>
        <m:r>
          <m:t>p</m:t>
        </m:r>
        <m:r>
          <m:t>l</m:t>
        </m:r>
        <m:r>
          <m:t>u</m:t>
        </m:r>
        <m:r>
          <m:t>s</m:t>
        </m:r>
        <m:r>
          <m:rPr>
            <m:sty m:val="p"/>
          </m:rPr>
          <m:t>*</m:t>
        </m:r>
        <m:r>
          <m:rPr>
            <m:sty m:val="p"/>
          </m:rPr>
          <m:t>*</m:t>
        </m:r>
      </m:oMath>
      <w:r>
        <w:rPr>
          <w:b/>
          <w:bCs/>
        </w:rPr>
        <w:t xml:space="preserve">1.2 billion</w:t>
      </w:r>
      <w:r>
        <w:t xml:space="preserve"> </w:t>
      </w:r>
      <w:r>
        <w:t xml:space="preserve">of liquid long-term investments.</w:t>
      </w:r>
    </w:p>
    <w:p>
      <w:pPr>
        <w:pStyle w:val="FirstParagraph"/>
      </w:pPr>
      <w:r>
        <w:t xml:space="preserve">The balance sheet should give COP flexibility to maintain its program through volatility. The earnings sensitivity is therefore likely to be driven more by</w:t>
      </w:r>
      <w:r>
        <w:t xml:space="preserve"> </w:t>
      </w:r>
      <w:r>
        <w:rPr>
          <w:b/>
          <w:bCs/>
        </w:rPr>
        <w:t xml:space="preserve">production and project timing</w:t>
      </w:r>
      <w:r>
        <w:t xml:space="preserve"> </w:t>
      </w:r>
      <w:r>
        <w:t xml:space="preserve">than by financing risk.</w:t>
      </w:r>
    </w:p>
    <w:p>
      <w:r>
        <w:pict>
          <v:rect style="width:0;height:1.5pt" o:hralign="center" o:hrstd="t" o:hr="t"/>
        </w:pict>
      </w:r>
    </w:p>
    <w:bookmarkEnd w:id="18"/>
    <w:bookmarkStart w:id="19" w:name="what-would-make-this-report-bullish"/>
    <w:p>
      <w:pPr>
        <w:pStyle w:val="Heading2"/>
      </w:pPr>
      <w:r>
        <w:t xml:space="preserve">What would make this report bullish?</w:t>
      </w:r>
    </w:p>
    <w:p>
      <w:pPr>
        <w:pStyle w:val="Compact"/>
        <w:numPr>
          <w:ilvl w:val="0"/>
          <w:numId w:val="1011"/>
        </w:numPr>
      </w:pPr>
      <w:r>
        <w:rPr>
          <w:b/>
          <w:bCs/>
        </w:rPr>
        <w:t xml:space="preserve">2Q production at or above the top end of guidance</w:t>
      </w:r>
      <w:r>
        <w:t xml:space="preserve">, with strong Lower 48 execution.</w:t>
      </w:r>
    </w:p>
    <w:p>
      <w:pPr>
        <w:pStyle w:val="Compact"/>
        <w:numPr>
          <w:ilvl w:val="0"/>
          <w:numId w:val="1011"/>
        </w:numPr>
      </w:pPr>
      <w:r>
        <w:rPr>
          <w:b/>
          <w:bCs/>
        </w:rPr>
        <w:t xml:space="preserve">Full-year production guidance maintained</w:t>
      </w:r>
      <w:r>
        <w:t xml:space="preserve">, paired with a persuasive 2H recovery path.</w:t>
      </w:r>
    </w:p>
    <w:p>
      <w:pPr>
        <w:pStyle w:val="Compact"/>
        <w:numPr>
          <w:ilvl w:val="0"/>
          <w:numId w:val="1011"/>
        </w:numPr>
      </w:pPr>
      <w:r>
        <w:rPr>
          <w:b/>
          <w:bCs/>
        </w:rPr>
        <w:t xml:space="preserve">No increase in the</w:t>
      </w:r>
      <w:r>
        <w:rPr>
          <w:b/>
          <w:bCs/>
        </w:rPr>
        <w:t xml:space="preserve"> </w:t>
      </w:r>
      <m:oMath>
        <m:r>
          <m:t>12.0</m:t>
        </m:r>
        <m:r>
          <m:rPr>
            <m:sty m:val="p"/>
          </m:rPr>
          <m:t>–</m:t>
        </m:r>
      </m:oMath>
      <w:r>
        <w:rPr>
          <w:b/>
          <w:bCs/>
        </w:rPr>
        <w:t xml:space="preserve">12.5 billion capex range.</w:t>
      </w:r>
    </w:p>
    <w:p>
      <w:pPr>
        <w:pStyle w:val="Compact"/>
        <w:numPr>
          <w:ilvl w:val="0"/>
          <w:numId w:val="1011"/>
        </w:numPr>
      </w:pPr>
      <w:r>
        <w:t xml:space="preserve">Better-than-expected operating costs or a lower annual cost outlook.</w:t>
      </w:r>
    </w:p>
    <w:p>
      <w:pPr>
        <w:pStyle w:val="Compact"/>
        <w:numPr>
          <w:ilvl w:val="0"/>
          <w:numId w:val="1011"/>
        </w:numPr>
      </w:pPr>
      <w:r>
        <w:t xml:space="preserve">Strong realized pricing and CFO conversion, confirming COP’s high exposure to global crude and LNG pricing.</w:t>
      </w:r>
    </w:p>
    <w:p>
      <w:pPr>
        <w:pStyle w:val="Compact"/>
        <w:numPr>
          <w:ilvl w:val="0"/>
          <w:numId w:val="1011"/>
        </w:numPr>
      </w:pPr>
      <w:r>
        <w:t xml:space="preserve">Clear evidence that Qatar-related operational and capital uncertainties are easing.</w:t>
      </w:r>
    </w:p>
    <w:p>
      <w:pPr>
        <w:pStyle w:val="Compact"/>
        <w:numPr>
          <w:ilvl w:val="0"/>
          <w:numId w:val="1011"/>
        </w:numPr>
      </w:pPr>
      <w:r>
        <w:t xml:space="preserve">Reiteration of the 45%-of-CFO shareholder-return objective, potentially supported by stronger repurchase activity.</w:t>
      </w:r>
    </w:p>
    <w:bookmarkEnd w:id="19"/>
    <w:bookmarkStart w:id="20" w:name="X13797ecdc9b27709b610db909e8db744ca27fc9"/>
    <w:p>
      <w:pPr>
        <w:pStyle w:val="Heading2"/>
      </w:pPr>
      <w:r>
        <w:t xml:space="preserve">What would make this report disappointing?</w:t>
      </w:r>
    </w:p>
    <w:p>
      <w:pPr>
        <w:pStyle w:val="Compact"/>
        <w:numPr>
          <w:ilvl w:val="0"/>
          <w:numId w:val="1012"/>
        </w:numPr>
      </w:pPr>
      <w:r>
        <w:t xml:space="preserve">Production below the 2Q range or a reduction to 2026 production guidance.</w:t>
      </w:r>
    </w:p>
    <w:p>
      <w:pPr>
        <w:pStyle w:val="Compact"/>
        <w:numPr>
          <w:ilvl w:val="0"/>
          <w:numId w:val="1012"/>
        </w:numPr>
      </w:pPr>
      <w:r>
        <w:t xml:space="preserve">A weak or poorly explained 2H production recovery profile.</w:t>
      </w:r>
    </w:p>
    <w:p>
      <w:pPr>
        <w:pStyle w:val="Compact"/>
        <w:numPr>
          <w:ilvl w:val="0"/>
          <w:numId w:val="1012"/>
        </w:numPr>
      </w:pPr>
      <w:r>
        <w:t xml:space="preserve">Higher capital needs, especially if driven by execution pressure rather than high-return activity.</w:t>
      </w:r>
    </w:p>
    <w:p>
      <w:pPr>
        <w:pStyle w:val="Compact"/>
        <w:numPr>
          <w:ilvl w:val="0"/>
          <w:numId w:val="1012"/>
        </w:numPr>
      </w:pPr>
      <w:r>
        <w:t xml:space="preserve">Cost inflation that jeopardizes the planned $1 billion run-rate savings target.</w:t>
      </w:r>
    </w:p>
    <w:p>
      <w:pPr>
        <w:pStyle w:val="Compact"/>
        <w:numPr>
          <w:ilvl w:val="0"/>
          <w:numId w:val="1012"/>
        </w:numPr>
      </w:pPr>
      <w:r>
        <w:t xml:space="preserve">New delays or elevated uncertainty around Qatar, North Field, Willow, or Port Arthur LNG.</w:t>
      </w:r>
    </w:p>
    <w:p>
      <w:pPr>
        <w:pStyle w:val="Compact"/>
        <w:numPr>
          <w:ilvl w:val="0"/>
          <w:numId w:val="1012"/>
        </w:numPr>
      </w:pPr>
      <w:r>
        <w:t xml:space="preserve">Lower-than-expected price realizations or weak cash conversion despite favorable commodity pricing.</w:t>
      </w:r>
    </w:p>
    <w:p>
      <w:pPr>
        <w:pStyle w:val="Compact"/>
        <w:numPr>
          <w:ilvl w:val="0"/>
          <w:numId w:val="1012"/>
        </w:numPr>
      </w:pPr>
      <w:r>
        <w:t xml:space="preserve">Any softening in the commitment to return 45% of CFO to shareholders.</w:t>
      </w:r>
    </w:p>
    <w:p>
      <w:r>
        <w:pict>
          <v:rect style="width:0;height:1.5pt" o:hralign="center" o:hrstd="t" o:hr="t"/>
        </w:pict>
      </w:r>
    </w:p>
    <w:bookmarkEnd w:id="20"/>
    <w:bookmarkStart w:id="22" w:name="bottom-line"/>
    <w:p>
      <w:pPr>
        <w:pStyle w:val="Heading2"/>
      </w:pPr>
      <w:r>
        <w:t xml:space="preserve">Bottom line</w:t>
      </w:r>
    </w:p>
    <w:p>
      <w:pPr>
        <w:pStyle w:val="FirstParagraph"/>
      </w:pPr>
      <w:r>
        <w:t xml:space="preserve">COP has entered the report with an attractive setup: strong exposure to elevated global commodity prices, a visible cash-return framework, improving cost performance, and differentiated long-cycle projects. But the market will likely judge the release on whether management can</w:t>
      </w:r>
      <w:r>
        <w:t xml:space="preserve"> </w:t>
      </w:r>
      <w:r>
        <w:rPr>
          <w:b/>
          <w:bCs/>
        </w:rPr>
        <w:t xml:space="preserve">bridge a weaker Qatar-affected 2Q to a credible, higher-volume second half without sacrificing capital discipline</w:t>
      </w:r>
      <w:r>
        <w:t xml:space="preserve">.</w:t>
      </w:r>
    </w:p>
    <w:p>
      <w:pPr>
        <w:pStyle w:val="BodyText"/>
      </w:pPr>
      <w:r>
        <w:t xml:space="preserve">The cleanest bullish outcome is not simply a quarterly EPS beat. It is a report that confirms three things simultaneously:</w:t>
      </w:r>
      <w:r>
        <w:t xml:space="preserve"> </w:t>
      </w:r>
      <w:r>
        <w:rPr>
          <w:b/>
          <w:bCs/>
        </w:rPr>
        <w:t xml:space="preserve">full-year production is intact, capex remains contained, and cash-flow upside is flowing to shareholders rather than being absorbed by disruption or reinvestment.</w:t>
      </w:r>
    </w:p>
    <w:bookmarkStart w:id="21" w:name="primary-pre-earnings-reference-points"/>
    <w:p>
      <w:pPr>
        <w:pStyle w:val="Heading3"/>
      </w:pPr>
      <w:r>
        <w:t xml:space="preserve">Primary pre-earnings reference points</w:t>
      </w:r>
    </w:p>
    <w:p>
      <w:pPr>
        <w:pStyle w:val="Compact"/>
        <w:numPr>
          <w:ilvl w:val="0"/>
          <w:numId w:val="1013"/>
        </w:numPr>
      </w:pPr>
      <w:r>
        <w:t xml:space="preserve">ConocoPhillips 1Q26 earnings release and detailed supplemental information, April 30, 2026.</w:t>
      </w:r>
    </w:p>
    <w:p>
      <w:pPr>
        <w:pStyle w:val="Compact"/>
        <w:numPr>
          <w:ilvl w:val="0"/>
          <w:numId w:val="1013"/>
        </w:numPr>
      </w:pPr>
      <w:r>
        <w:t xml:space="preserve">ConocoPhillips 1Q26 earnings-call transcript, April 30, 2026.</w:t>
      </w:r>
    </w:p>
    <w:p>
      <w:pPr>
        <w:pStyle w:val="Compact"/>
        <w:numPr>
          <w:ilvl w:val="0"/>
          <w:numId w:val="1013"/>
        </w:numPr>
      </w:pPr>
      <w:r>
        <w:t xml:space="preserve">COP share-price history through August 5,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2026-08-06T00:50:32Z</dcterms:created>
  <dcterms:modified xsi:type="dcterms:W3CDTF">2026-08-06T00:50:32Z</dcterms:modified>
</cp:coreProperties>
</file>

<file path=docProps/custom.xml><?xml version="1.0" encoding="utf-8"?>
<Properties xmlns="http://schemas.openxmlformats.org/officeDocument/2006/custom-properties" xmlns:vt="http://schemas.openxmlformats.org/officeDocument/2006/docPropsVTypes"/>
</file>