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p-earnings-predictions--2026-08-06"/>
    <w:p>
      <w:pPr>
        <w:pStyle w:val="Heading1"/>
      </w:pPr>
      <w:r>
        <w:t xml:space="preserve">COP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~$3.10 vs. cons $2.95 (+5.1%)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Production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~2,230 MBOED vs. cons 2,209 MBOED (+0.9%)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~$3.85B vs. cons $3.62B (+6.4%)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Production (2026Q3)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~2,280-2,310 MBOED vs. cons ~2,302 MBOED (~0%)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Production (2026FY)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~2,290-2,310 MBOED vs. cons 2,302 MBOED (~0%)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CapEx (2026FY)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12.0</m:t>
              </m:r>
              <m:r>
                <m:rPr>
                  <m:sty m:val="p"/>
                </m:rPr>
                <m:t>−</m:t>
              </m:r>
            </m:oMath>
            <w:r>
              <w:t xml:space="preserve">12.5B vs. cons $12.3B (~0%)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LNG/Qatar Tone (qualitative, 2026FY)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constructive; NFE delay months reiterated; structural LNG tightening thesis reinforced vs. feared further delay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sell-side models implicit H2 production cut, mild estimate drag; EPS beat partially offsets; no large cascade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2026-08-08T02:00:57Z</dcterms:created>
  <dcterms:modified xsi:type="dcterms:W3CDTF">2026-08-08T02:00:57Z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