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ConocoPhillips (COP)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ConocoPhillips</w:t>
            </w:r>
          </w:p>
        </w:tc>
      </w:tr>
      <w:tr>
        <w:tc>
          <w:tcPr>
            <w:tcW w:type="dxa" w:w="4320"/>
          </w:tcPr>
          <w:p>
            <w:r>
              <w:rPr>
                <w:rFonts w:ascii="Calibri" w:hAnsi="Calibri"/>
                <w:b/>
                <w:sz w:val="22"/>
              </w:rPr>
              <w:t>Ticker</w:t>
            </w:r>
          </w:p>
        </w:tc>
        <w:tc>
          <w:tcPr>
            <w:tcW w:type="dxa" w:w="4320"/>
          </w:tcPr>
          <w:p>
            <w:r>
              <w:rPr>
                <w:rFonts w:ascii="Calibri" w:hAnsi="Calibri"/>
                <w:sz w:val="22"/>
              </w:rPr>
              <w:t>COP (NYSE)</w:t>
            </w:r>
          </w:p>
        </w:tc>
      </w:tr>
      <w:tr>
        <w:tc>
          <w:tcPr>
            <w:tcW w:type="dxa" w:w="4320"/>
          </w:tcPr>
          <w:p>
            <w:r>
              <w:rPr>
                <w:rFonts w:ascii="Calibri" w:hAnsi="Calibri"/>
                <w:b/>
                <w:sz w:val="22"/>
              </w:rPr>
              <w:t>Upcoming Earnings Date</w:t>
            </w:r>
          </w:p>
        </w:tc>
        <w:tc>
          <w:tcPr>
            <w:tcW w:type="dxa" w:w="4320"/>
          </w:tcPr>
          <w:p>
            <w:r>
              <w:rPr>
                <w:rFonts w:ascii="Calibri" w:hAnsi="Calibri"/>
                <w:sz w:val="22"/>
              </w:rPr>
              <w:t>August 6, 2026 (Q2 2026)</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r>
        <w:tc>
          <w:tcPr>
            <w:tcW w:type="dxa" w:w="4320"/>
          </w:tcPr>
          <w:p>
            <w:r>
              <w:rPr>
                <w:rFonts w:ascii="Calibri" w:hAnsi="Calibri"/>
                <w:b/>
                <w:sz w:val="22"/>
              </w:rPr>
              <w:t>Analyst Consensus</w:t>
            </w:r>
          </w:p>
        </w:tc>
        <w:tc>
          <w:tcPr>
            <w:tcW w:type="dxa" w:w="4320"/>
          </w:tcPr>
          <w:p>
            <w:r>
              <w:rPr>
                <w:rFonts w:ascii="Calibri" w:hAnsi="Calibri"/>
                <w:sz w:val="22"/>
              </w:rPr>
              <w:t>Moderate Buy — 28 analysts; avg. PT ~$134–$144</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moderate beat, with the biggest swing factor being whether Qatar production returns to guidance and how management frames the LNG structural tightening thesis — consensus at $2.95 adjusted EPS looks achievable given the oil price tailwind and cost discipline, but production guidance exclusion of Qatar creates a low bar on volumes.</w:t>
      </w:r>
    </w:p>
    <w:p>
      <w:r>
        <w:rPr>
          <w:rFonts w:ascii="Calibri" w:hAnsi="Calibri"/>
          <w:color w:val="525866"/>
          <w:sz w:val="22"/>
        </w:rPr>
        <w:t xml:space="preserve">Heading into Q2 2026, the bar for ConocoPhillips is intentionally set low on production — management excluded Qatar volumes entirely from Q2 guidance (midpoint 2,200 MBOED vs. Q1 actual of 2,309 MBOED) due to the Middle East conflict and Strait of Hormuz disruption, creating a volume setup where any partial Qatar resumption would be a positive surprise. </w:t>
      </w:r>
      <w:r>
        <w:rPr>
          <w:rFonts w:ascii="Calibri" w:hAnsi="Calibri"/>
          <w:color w:val="525866"/>
          <w:sz w:val="22"/>
        </w:rPr>
        <w:t xml:space="preserve">Consensus adjusted EPS of $2.95 reflects a meaningful step-up from Q1's $1.90 actual, driven by higher realized oil and LNG prices in the quarter as the unhedged portfolio directly captures the commodity tailwind; management's 45% CFO return commitment means shareholders participate immediately. </w:t>
      </w:r>
      <w:r>
        <w:rPr>
          <w:rFonts w:ascii="Calibri" w:hAnsi="Calibri"/>
          <w:color w:val="525866"/>
          <w:sz w:val="22"/>
        </w:rPr>
        <w:t xml:space="preserve">Estimate revisions have been broadly stable since the Q1 print, with the Q2 consensus nudging slightly lower (from $3.01 at the post-Q1 baseline to $2.95 currently), suggesting the street has already discounted the Qatar headwind and is not pricing in a recovery. </w:t>
      </w:r>
      <w:r>
        <w:rPr>
          <w:rFonts w:ascii="Calibri" w:hAnsi="Calibri"/>
          <w:color w:val="525866"/>
          <w:sz w:val="22"/>
        </w:rPr>
        <w:t xml:space="preserve">The stock has underperformed significantly since Q1 earnings — down ~6% vs. XOP down ~4% and S&amp;P 500 up ~7% — reflecting oil price softness and investor concern about the geopolitical overhang, which means the stock is not pricing in a beat and any constructive Qatar commentary could be a catalyst. </w:t>
      </w:r>
      <w:r>
        <w:rPr>
          <w:rFonts w:ascii="Calibri" w:hAnsi="Calibri"/>
          <w:color w:val="525866"/>
          <w:sz w:val="22"/>
        </w:rPr>
        <w:t>The key wildcard is the NFE/NFS project timeline in Qatar: QatarEnergy guided a multi-year impact on global LNG supply from the two damaged trains, and any update on construction progress or start-up timing (previously guided second-half 2026, now potentially early 2027) will be closely watched as it underpins the $7 billion FCF inflection thesis by 2029.</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production (2,209 MBOED, fully excluding Qatar) while EPS of $2.95 reflects a meaningful sequential step-up driven by higher oil/LNG prices; production volume is the bigger swing factor — any Qatar resumption is upside, while cost discipline on OpEx ($2.37B consensus) is the secondary watch item.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 FY)</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 Diluted Operating ($)</w:t>
            </w:r>
          </w:p>
        </w:tc>
        <w:tc>
          <w:tcPr>
            <w:tcW w:type="dxa" w:w="1234"/>
          </w:tcPr>
          <w:p>
            <w:r>
              <w:rPr>
                <w:rFonts w:ascii="Calibri" w:hAnsi="Calibri"/>
                <w:sz w:val="22"/>
              </w:rPr>
              <w:t>$1.90</w:t>
            </w:r>
          </w:p>
        </w:tc>
        <w:tc>
          <w:tcPr>
            <w:tcW w:type="dxa" w:w="1234"/>
          </w:tcPr>
          <w:p>
            <w:r>
              <w:rPr>
                <w:rFonts w:ascii="Calibri" w:hAnsi="Calibri"/>
                <w:sz w:val="22"/>
              </w:rPr>
              <w:t>$1.42</w:t>
            </w:r>
          </w:p>
        </w:tc>
        <w:tc>
          <w:tcPr>
            <w:tcW w:type="dxa" w:w="1234"/>
          </w:tcPr>
          <w:p>
            <w:r>
              <w:rPr>
                <w:rFonts w:ascii="Calibri" w:hAnsi="Calibri"/>
                <w:sz w:val="22"/>
              </w:rPr>
              <w:t>$2.95</w:t>
            </w:r>
          </w:p>
        </w:tc>
        <w:tc>
          <w:tcPr>
            <w:tcW w:type="dxa" w:w="1234"/>
          </w:tcPr>
          <w:p>
            <w:r>
              <w:rPr>
                <w:rFonts w:ascii="Calibri" w:hAnsi="Calibri"/>
                <w:b/>
                <w:color w:val="30A46C"/>
                <w:sz w:val="22"/>
              </w:rPr>
              <w:t>+107% YoY</w:t>
            </w:r>
          </w:p>
        </w:tc>
        <w:tc>
          <w:tcPr>
            <w:tcW w:type="dxa" w:w="1234"/>
          </w:tcPr>
          <w:p>
            <w:r>
              <w:rPr>
                <w:rFonts w:ascii="Calibri" w:hAnsi="Calibri"/>
                <w:sz w:val="22"/>
              </w:rPr>
              <w:t>No specific Q2 EPS guidance; FY 2026 consensus $9.49</w:t>
            </w:r>
          </w:p>
        </w:tc>
        <w:tc>
          <w:tcPr>
            <w:tcW w:type="dxa" w:w="1234"/>
          </w:tcPr>
          <w:p>
            <w:r>
              <w:rPr>
                <w:rFonts w:ascii="Calibri" w:hAnsi="Calibri"/>
                <w:sz w:val="22"/>
              </w:rPr>
              <w:t>N/A (no point guidance)</w:t>
            </w:r>
          </w:p>
        </w:tc>
      </w:tr>
      <w:tr>
        <w:tc>
          <w:tcPr>
            <w:tcW w:type="dxa" w:w="1234"/>
          </w:tcPr>
          <w:p>
            <w:r>
              <w:rPr>
                <w:rFonts w:ascii="Calibri" w:hAnsi="Calibri"/>
                <w:sz w:val="22"/>
              </w:rPr>
              <w:t>Total Production (MBOED)</w:t>
            </w:r>
          </w:p>
        </w:tc>
        <w:tc>
          <w:tcPr>
            <w:tcW w:type="dxa" w:w="1234"/>
          </w:tcPr>
          <w:p>
            <w:r>
              <w:rPr>
                <w:rFonts w:ascii="Calibri" w:hAnsi="Calibri"/>
                <w:sz w:val="22"/>
              </w:rPr>
              <w:t>2,307 MBOED</w:t>
            </w:r>
          </w:p>
        </w:tc>
        <w:tc>
          <w:tcPr>
            <w:tcW w:type="dxa" w:w="1234"/>
          </w:tcPr>
          <w:p>
            <w:r>
              <w:rPr>
                <w:rFonts w:ascii="Calibri" w:hAnsi="Calibri"/>
                <w:sz w:val="22"/>
              </w:rPr>
              <w:t>2,391 MBOED</w:t>
            </w:r>
          </w:p>
        </w:tc>
        <w:tc>
          <w:tcPr>
            <w:tcW w:type="dxa" w:w="1234"/>
          </w:tcPr>
          <w:p>
            <w:r>
              <w:rPr>
                <w:rFonts w:ascii="Calibri" w:hAnsi="Calibri"/>
                <w:sz w:val="22"/>
              </w:rPr>
              <w:t>2,209 MBOED</w:t>
            </w:r>
          </w:p>
        </w:tc>
        <w:tc>
          <w:tcPr>
            <w:tcW w:type="dxa" w:w="1234"/>
          </w:tcPr>
          <w:p>
            <w:r>
              <w:rPr>
                <w:rFonts w:ascii="Calibri" w:hAnsi="Calibri"/>
                <w:b/>
                <w:color w:val="E5484D"/>
                <w:sz w:val="22"/>
              </w:rPr>
              <w:t>-7.6% YoY</w:t>
            </w:r>
          </w:p>
        </w:tc>
        <w:tc>
          <w:tcPr>
            <w:tcW w:type="dxa" w:w="1234"/>
          </w:tcPr>
          <w:p>
            <w:r>
              <w:rPr>
                <w:rFonts w:ascii="Calibri" w:hAnsi="Calibri"/>
                <w:sz w:val="22"/>
              </w:rPr>
              <w:t>Q2 midpoint: 2,200 MBOED (Qatar excluded); FY midpoint: 2,310 MBOED</w:t>
            </w:r>
          </w:p>
        </w:tc>
        <w:tc>
          <w:tcPr>
            <w:tcW w:type="dxa" w:w="1234"/>
          </w:tcPr>
          <w:p>
            <w:r>
              <w:rPr>
                <w:rFonts w:ascii="Calibri" w:hAnsi="Calibri"/>
                <w:sz w:val="22"/>
              </w:rPr>
              <w:t>+0.4% above Q2 guidance midpoint</w:t>
            </w:r>
          </w:p>
        </w:tc>
      </w:tr>
      <w:tr>
        <w:tc>
          <w:tcPr>
            <w:tcW w:type="dxa" w:w="1234"/>
          </w:tcPr>
          <w:p>
            <w:r>
              <w:rPr>
                <w:rFonts w:ascii="Calibri" w:hAnsi="Calibri"/>
                <w:sz w:val="22"/>
              </w:rPr>
              <w:t>Total Revenue ($B)</w:t>
            </w:r>
          </w:p>
        </w:tc>
        <w:tc>
          <w:tcPr>
            <w:tcW w:type="dxa" w:w="1234"/>
          </w:tcPr>
          <w:p>
            <w:r>
              <w:rPr>
                <w:rFonts w:ascii="Calibri" w:hAnsi="Calibri"/>
                <w:sz w:val="22"/>
              </w:rPr>
              <w:t>$16.05B</w:t>
            </w:r>
          </w:p>
        </w:tc>
        <w:tc>
          <w:tcPr>
            <w:tcW w:type="dxa" w:w="1234"/>
          </w:tcPr>
          <w:p>
            <w:r>
              <w:rPr>
                <w:rFonts w:ascii="Calibri" w:hAnsi="Calibri"/>
                <w:sz w:val="22"/>
              </w:rPr>
              <w:t>$14.74B</w:t>
            </w:r>
          </w:p>
        </w:tc>
        <w:tc>
          <w:tcPr>
            <w:tcW w:type="dxa" w:w="1234"/>
          </w:tcPr>
          <w:p>
            <w:r>
              <w:rPr>
                <w:rFonts w:ascii="Calibri" w:hAnsi="Calibri"/>
                <w:sz w:val="22"/>
              </w:rPr>
              <w:t>$17.81B</w:t>
            </w:r>
          </w:p>
        </w:tc>
        <w:tc>
          <w:tcPr>
            <w:tcW w:type="dxa" w:w="1234"/>
          </w:tcPr>
          <w:p>
            <w:r>
              <w:rPr>
                <w:rFonts w:ascii="Calibri" w:hAnsi="Calibri"/>
                <w:b/>
                <w:color w:val="30A46C"/>
                <w:sz w:val="22"/>
              </w:rPr>
              <w:t>+20.8% YoY</w:t>
            </w:r>
          </w:p>
        </w:tc>
        <w:tc>
          <w:tcPr>
            <w:tcW w:type="dxa" w:w="1234"/>
          </w:tcPr>
          <w:p>
            <w:r>
              <w:rPr>
                <w:rFonts w:ascii="Calibri" w:hAnsi="Calibri"/>
                <w:sz w:val="22"/>
              </w:rPr>
              <w:t>No specific revenue guidance</w:t>
            </w:r>
          </w:p>
        </w:tc>
        <w:tc>
          <w:tcPr>
            <w:tcW w:type="dxa" w:w="1234"/>
          </w:tcPr>
          <w:p>
            <w:r>
              <w:rPr>
                <w:rFonts w:ascii="Calibri" w:hAnsi="Calibri"/>
                <w:sz w:val="22"/>
              </w:rPr>
              <w:t>N/A</w:t>
            </w:r>
          </w:p>
        </w:tc>
      </w:tr>
      <w:tr>
        <w:tc>
          <w:tcPr>
            <w:tcW w:type="dxa" w:w="1234"/>
          </w:tcPr>
          <w:p>
            <w:r>
              <w:rPr>
                <w:rFonts w:ascii="Calibri" w:hAnsi="Calibri"/>
                <w:sz w:val="22"/>
              </w:rPr>
              <w:t>Operating Expense ($B)</w:t>
            </w:r>
          </w:p>
        </w:tc>
        <w:tc>
          <w:tcPr>
            <w:tcW w:type="dxa" w:w="1234"/>
          </w:tcPr>
          <w:p>
            <w:r>
              <w:rPr>
                <w:rFonts w:ascii="Calibri" w:hAnsi="Calibri"/>
                <w:sz w:val="22"/>
              </w:rPr>
              <w:t>$2.28B</w:t>
            </w:r>
          </w:p>
        </w:tc>
        <w:tc>
          <w:tcPr>
            <w:tcW w:type="dxa" w:w="1234"/>
          </w:tcPr>
          <w:p>
            <w:r>
              <w:rPr>
                <w:rFonts w:ascii="Calibri" w:hAnsi="Calibri"/>
                <w:sz w:val="22"/>
              </w:rPr>
              <w:t>$2.57B</w:t>
            </w:r>
          </w:p>
        </w:tc>
        <w:tc>
          <w:tcPr>
            <w:tcW w:type="dxa" w:w="1234"/>
          </w:tcPr>
          <w:p>
            <w:r>
              <w:rPr>
                <w:rFonts w:ascii="Calibri" w:hAnsi="Calibri"/>
                <w:sz w:val="22"/>
              </w:rPr>
              <w:t>$2.37B</w:t>
            </w:r>
          </w:p>
        </w:tc>
        <w:tc>
          <w:tcPr>
            <w:tcW w:type="dxa" w:w="1234"/>
          </w:tcPr>
          <w:p>
            <w:r>
              <w:rPr>
                <w:rFonts w:ascii="Calibri" w:hAnsi="Calibri"/>
                <w:b/>
                <w:color w:val="30A46C"/>
                <w:sz w:val="22"/>
              </w:rPr>
              <w:t>-7.8% YoY</w:t>
            </w:r>
          </w:p>
        </w:tc>
        <w:tc>
          <w:tcPr>
            <w:tcW w:type="dxa" w:w="1234"/>
          </w:tcPr>
          <w:p>
            <w:r>
              <w:rPr>
                <w:rFonts w:ascii="Calibri" w:hAnsi="Calibri"/>
                <w:sz w:val="22"/>
              </w:rPr>
              <w:t>FY 2026: $10.2B (~$2.55B/qtr avg)</w:t>
            </w:r>
          </w:p>
        </w:tc>
        <w:tc>
          <w:tcPr>
            <w:tcW w:type="dxa" w:w="1234"/>
          </w:tcPr>
          <w:p>
            <w:r>
              <w:rPr>
                <w:rFonts w:ascii="Calibri" w:hAnsi="Calibri"/>
                <w:sz w:val="22"/>
              </w:rPr>
              <w:t>~7% below FY run-rate</w:t>
            </w:r>
          </w:p>
        </w:tc>
      </w:tr>
      <w:tr>
        <w:tc>
          <w:tcPr>
            <w:tcW w:type="dxa" w:w="1234"/>
          </w:tcPr>
          <w:p>
            <w:r>
              <w:rPr>
                <w:rFonts w:ascii="Calibri" w:hAnsi="Calibri"/>
                <w:sz w:val="22"/>
              </w:rPr>
              <w:t>Total CapEx ($B)</w:t>
            </w:r>
          </w:p>
        </w:tc>
        <w:tc>
          <w:tcPr>
            <w:tcW w:type="dxa" w:w="1234"/>
          </w:tcPr>
          <w:p>
            <w:r>
              <w:rPr>
                <w:rFonts w:ascii="Calibri" w:hAnsi="Calibri"/>
                <w:sz w:val="22"/>
              </w:rPr>
              <w:t>$2.95B</w:t>
            </w:r>
          </w:p>
        </w:tc>
        <w:tc>
          <w:tcPr>
            <w:tcW w:type="dxa" w:w="1234"/>
          </w:tcPr>
          <w:p>
            <w:r>
              <w:rPr>
                <w:rFonts w:ascii="Calibri" w:hAnsi="Calibri"/>
                <w:sz w:val="22"/>
              </w:rPr>
              <w:t>$3.29B</w:t>
            </w:r>
          </w:p>
        </w:tc>
        <w:tc>
          <w:tcPr>
            <w:tcW w:type="dxa" w:w="1234"/>
          </w:tcPr>
          <w:p>
            <w:r>
              <w:rPr>
                <w:rFonts w:ascii="Calibri" w:hAnsi="Calibri"/>
                <w:sz w:val="22"/>
              </w:rPr>
              <w:t>$3.12B</w:t>
            </w:r>
          </w:p>
        </w:tc>
        <w:tc>
          <w:tcPr>
            <w:tcW w:type="dxa" w:w="1234"/>
          </w:tcPr>
          <w:p>
            <w:r>
              <w:rPr>
                <w:rFonts w:ascii="Calibri" w:hAnsi="Calibri"/>
                <w:b/>
                <w:color w:val="30A46C"/>
                <w:sz w:val="22"/>
              </w:rPr>
              <w:t>-5.2% YoY</w:t>
            </w:r>
          </w:p>
        </w:tc>
        <w:tc>
          <w:tcPr>
            <w:tcW w:type="dxa" w:w="1234"/>
          </w:tcPr>
          <w:p>
            <w:r>
              <w:rPr>
                <w:rFonts w:ascii="Calibri" w:hAnsi="Calibri"/>
                <w:sz w:val="22"/>
              </w:rPr>
              <w:t>FY 2026: $12.0–$12.5B</w:t>
            </w:r>
          </w:p>
        </w:tc>
        <w:tc>
          <w:tcPr>
            <w:tcW w:type="dxa" w:w="1234"/>
          </w:tcPr>
          <w:p>
            <w:r>
              <w:rPr>
                <w:rFonts w:ascii="Calibri" w:hAnsi="Calibri"/>
                <w:sz w:val="22"/>
              </w:rPr>
              <w:t>~$3.1B/qtr implied; in line</w:t>
            </w:r>
          </w:p>
        </w:tc>
      </w:tr>
      <w:tr>
        <w:tc>
          <w:tcPr>
            <w:tcW w:type="dxa" w:w="1234"/>
          </w:tcPr>
          <w:p>
            <w:r>
              <w:rPr>
                <w:rFonts w:ascii="Calibri" w:hAnsi="Calibri"/>
                <w:sz w:val="22"/>
              </w:rPr>
              <w:t>Free Cash Flow ($B)</w:t>
            </w:r>
          </w:p>
        </w:tc>
        <w:tc>
          <w:tcPr>
            <w:tcW w:type="dxa" w:w="1234"/>
          </w:tcPr>
          <w:p>
            <w:r>
              <w:rPr>
                <w:rFonts w:ascii="Calibri" w:hAnsi="Calibri"/>
                <w:sz w:val="22"/>
              </w:rPr>
              <w:t>$2.44B</w:t>
            </w:r>
          </w:p>
        </w:tc>
        <w:tc>
          <w:tcPr>
            <w:tcW w:type="dxa" w:w="1234"/>
          </w:tcPr>
          <w:p>
            <w:r>
              <w:rPr>
                <w:rFonts w:ascii="Calibri" w:hAnsi="Calibri"/>
                <w:sz w:val="22"/>
              </w:rPr>
              <w:t>$1.44B</w:t>
            </w:r>
          </w:p>
        </w:tc>
        <w:tc>
          <w:tcPr>
            <w:tcW w:type="dxa" w:w="1234"/>
          </w:tcPr>
          <w:p>
            <w:r>
              <w:rPr>
                <w:rFonts w:ascii="Calibri" w:hAnsi="Calibri"/>
                <w:sz w:val="22"/>
              </w:rPr>
              <w:t>$3.62B</w:t>
            </w:r>
          </w:p>
        </w:tc>
        <w:tc>
          <w:tcPr>
            <w:tcW w:type="dxa" w:w="1234"/>
          </w:tcPr>
          <w:p>
            <w:r>
              <w:rPr>
                <w:rFonts w:ascii="Calibri" w:hAnsi="Calibri"/>
                <w:b/>
                <w:color w:val="30A46C"/>
                <w:sz w:val="22"/>
              </w:rPr>
              <w:t>+152% YoY</w:t>
            </w:r>
          </w:p>
        </w:tc>
        <w:tc>
          <w:tcPr>
            <w:tcW w:type="dxa" w:w="1234"/>
          </w:tcPr>
          <w:p>
            <w:r>
              <w:rPr>
                <w:rFonts w:ascii="Calibri" w:hAnsi="Calibri"/>
                <w:sz w:val="22"/>
              </w:rPr>
              <w:t>No specific FCF guidance; FY 2026 consensus $11.5B</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August 5, 2026. Q1 2026 actuals reported April 30, 2026. Production consensus of 2,209 MBOED reflects full Qatar exclusion per Q1 2026 earnings guidance.</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$1.99</w:t>
            </w:r>
          </w:p>
        </w:tc>
        <w:tc>
          <w:tcPr>
            <w:tcW w:type="dxa" w:w="1728"/>
          </w:tcPr>
          <w:p>
            <w:r>
              <w:rPr>
                <w:rFonts w:ascii="Calibri" w:hAnsi="Calibri"/>
                <w:sz w:val="22"/>
              </w:rPr>
              <w:t>$1.96</w:t>
            </w:r>
          </w:p>
        </w:tc>
        <w:tc>
          <w:tcPr>
            <w:tcW w:type="dxa" w:w="1728"/>
          </w:tcPr>
          <w:p>
            <w:r>
              <w:rPr>
                <w:rFonts w:ascii="Calibri" w:hAnsi="Calibri"/>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$1.79</w:t>
            </w:r>
          </w:p>
        </w:tc>
        <w:tc>
          <w:tcPr>
            <w:tcW w:type="dxa" w:w="1728"/>
          </w:tcPr>
          <w:p>
            <w:r>
              <w:rPr>
                <w:rFonts w:ascii="Calibri" w:hAnsi="Calibri"/>
                <w:sz w:val="22"/>
              </w:rPr>
              <w:t>$1.66</w:t>
            </w:r>
          </w:p>
        </w:tc>
        <w:tc>
          <w:tcPr>
            <w:tcW w:type="dxa" w:w="1728"/>
          </w:tcPr>
          <w:p>
            <w:r>
              <w:rPr>
                <w:rFonts w:ascii="Calibri" w:hAnsi="Calibri"/>
                <w:sz w:val="22"/>
              </w:rPr>
              <w:t>+7.8%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$1.99</w:t>
            </w:r>
          </w:p>
        </w:tc>
        <w:tc>
          <w:tcPr>
            <w:tcW w:type="dxa" w:w="1728"/>
          </w:tcPr>
          <w:p>
            <w:r>
              <w:rPr>
                <w:rFonts w:ascii="Calibri" w:hAnsi="Calibri"/>
                <w:sz w:val="22"/>
              </w:rPr>
              <w:t>$1.84</w:t>
            </w:r>
          </w:p>
        </w:tc>
        <w:tc>
          <w:tcPr>
            <w:tcW w:type="dxa" w:w="1728"/>
          </w:tcPr>
          <w:p>
            <w:r>
              <w:rPr>
                <w:rFonts w:ascii="Calibri" w:hAnsi="Calibri"/>
                <w:sz w:val="22"/>
              </w:rPr>
              <w:t>+8.1%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$2.10</w:t>
            </w:r>
          </w:p>
        </w:tc>
        <w:tc>
          <w:tcPr>
            <w:tcW w:type="dxa" w:w="1728"/>
          </w:tcPr>
          <w:p>
            <w:r>
              <w:rPr>
                <w:rFonts w:ascii="Calibri" w:hAnsi="Calibri"/>
                <w:sz w:val="22"/>
              </w:rPr>
              <w:t>$2.04</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$1.42</w:t>
            </w:r>
          </w:p>
        </w:tc>
        <w:tc>
          <w:tcPr>
            <w:tcW w:type="dxa" w:w="1728"/>
          </w:tcPr>
          <w:p>
            <w:r>
              <w:rPr>
                <w:rFonts w:ascii="Calibri" w:hAnsi="Calibri"/>
                <w:sz w:val="22"/>
              </w:rPr>
              <w:t>$1.43</w:t>
            </w:r>
          </w:p>
        </w:tc>
        <w:tc>
          <w:tcPr>
            <w:tcW w:type="dxa" w:w="1728"/>
          </w:tcPr>
          <w:p>
            <w:r>
              <w:rPr>
                <w:rFonts w:ascii="Calibri" w:hAnsi="Calibri"/>
                <w:sz w:val="22"/>
              </w:rPr>
              <w:t>-0.4%</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$1.61</w:t>
            </w:r>
          </w:p>
        </w:tc>
        <w:tc>
          <w:tcPr>
            <w:tcW w:type="dxa" w:w="1728"/>
          </w:tcPr>
          <w:p>
            <w:r>
              <w:rPr>
                <w:rFonts w:ascii="Calibri" w:hAnsi="Calibri"/>
                <w:sz w:val="22"/>
              </w:rPr>
              <w:t>$1.40</w:t>
            </w:r>
          </w:p>
        </w:tc>
        <w:tc>
          <w:tcPr>
            <w:tcW w:type="dxa" w:w="1728"/>
          </w:tcPr>
          <w:p>
            <w:r>
              <w:rPr>
                <w:rFonts w:ascii="Calibri" w:hAnsi="Calibri"/>
                <w:sz w:val="22"/>
              </w:rPr>
              <w:t>+15.0%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$1.02</w:t>
            </w:r>
          </w:p>
        </w:tc>
        <w:tc>
          <w:tcPr>
            <w:tcW w:type="dxa" w:w="1728"/>
          </w:tcPr>
          <w:p>
            <w:r>
              <w:rPr>
                <w:rFonts w:ascii="Calibri" w:hAnsi="Calibri"/>
                <w:sz w:val="22"/>
              </w:rPr>
              <w:t>$1.07</w:t>
            </w:r>
          </w:p>
        </w:tc>
        <w:tc>
          <w:tcPr>
            <w:tcW w:type="dxa" w:w="1728"/>
          </w:tcPr>
          <w:p>
            <w:r>
              <w:rPr>
                <w:rFonts w:ascii="Calibri" w:hAnsi="Calibri"/>
                <w:sz w:val="22"/>
              </w:rPr>
              <w:t>-4.7%</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$1.90</w:t>
            </w:r>
          </w:p>
        </w:tc>
        <w:tc>
          <w:tcPr>
            <w:tcW w:type="dxa" w:w="1728"/>
          </w:tcPr>
          <w:p>
            <w:r>
              <w:rPr>
                <w:rFonts w:ascii="Calibri" w:hAnsi="Calibri"/>
                <w:sz w:val="22"/>
              </w:rPr>
              <w:t>$1.72</w:t>
            </w:r>
          </w:p>
        </w:tc>
        <w:tc>
          <w:tcPr>
            <w:tcW w:type="dxa" w:w="1728"/>
          </w:tcPr>
          <w:p>
            <w:r>
              <w:rPr>
                <w:rFonts w:ascii="Calibri" w:hAnsi="Calibri"/>
                <w:sz w:val="22"/>
              </w:rPr>
              <w:t>+10.5%</w:t>
            </w:r>
          </w:p>
        </w:tc>
        <w:tc>
          <w:tcPr>
            <w:tcW w:type="dxa" w:w="1728"/>
          </w:tcPr>
          <w:p>
            <w:r>
              <w:rPr>
                <w:rFonts w:ascii="Calibri" w:hAnsi="Calibri"/>
                <w:b/>
                <w:color w:val="30A46C"/>
                <w:sz w:val="22"/>
              </w:rPr>
              <w:t>Beat</w:t>
            </w:r>
          </w:p>
        </w:tc>
      </w:tr>
    </w:tbl>
    <w:p>
      <w:r>
        <w:rPr>
          <w:rFonts w:ascii="Calibri" w:hAnsi="Calibri"/>
          <w:b/>
          <w:color w:val="525866"/>
          <w:sz w:val="22"/>
        </w:rPr>
        <w:t>KPI 2: Total Production — Oil Equivalent (MBOED)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(MBOED)</w:t>
            </w:r>
          </w:p>
        </w:tc>
        <w:tc>
          <w:tcPr>
            <w:tcW w:type="dxa" w:w="1728"/>
            <w:shd w:val="clear" w:color="auto" w:fill="3B4259"/>
          </w:tcPr>
          <w:p>
            <w:r>
              <w:rPr>
                <w:rFonts w:ascii="Calibri" w:hAnsi="Calibri"/>
                <w:b/>
                <w:color w:val="FFFFFF"/>
                <w:sz w:val="22"/>
              </w:rPr>
              <w:t>Consensus (MBOED)</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1,945</w:t>
            </w:r>
          </w:p>
        </w:tc>
        <w:tc>
          <w:tcPr>
            <w:tcW w:type="dxa" w:w="1728"/>
          </w:tcPr>
          <w:p>
            <w:r>
              <w:rPr>
                <w:rFonts w:ascii="Calibri" w:hAnsi="Calibri"/>
                <w:sz w:val="22"/>
              </w:rPr>
              <w:t>1,929</w:t>
            </w:r>
          </w:p>
        </w:tc>
        <w:tc>
          <w:tcPr>
            <w:tcW w:type="dxa" w:w="1728"/>
          </w:tcPr>
          <w:p>
            <w:r>
              <w:rPr>
                <w:rFonts w:ascii="Calibri" w:hAnsi="Calibri"/>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1,918</w:t>
            </w:r>
          </w:p>
        </w:tc>
        <w:tc>
          <w:tcPr>
            <w:tcW w:type="dxa" w:w="1728"/>
          </w:tcPr>
          <w:p>
            <w:r>
              <w:rPr>
                <w:rFonts w:ascii="Calibri" w:hAnsi="Calibri"/>
                <w:sz w:val="22"/>
              </w:rPr>
              <w:t>1,889</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2,183</w:t>
            </w:r>
          </w:p>
        </w:tc>
        <w:tc>
          <w:tcPr>
            <w:tcW w:type="dxa" w:w="1728"/>
          </w:tcPr>
          <w:p>
            <w:r>
              <w:rPr>
                <w:rFonts w:ascii="Calibri" w:hAnsi="Calibri"/>
                <w:sz w:val="22"/>
              </w:rPr>
              <w:t>2,119</w:t>
            </w:r>
          </w:p>
        </w:tc>
        <w:tc>
          <w:tcPr>
            <w:tcW w:type="dxa" w:w="1728"/>
          </w:tcPr>
          <w:p>
            <w:r>
              <w:rPr>
                <w:rFonts w:ascii="Calibri" w:hAnsi="Calibri"/>
                <w:sz w:val="22"/>
              </w:rPr>
              <w:t>+3.0%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2,389</w:t>
            </w:r>
          </w:p>
        </w:tc>
        <w:tc>
          <w:tcPr>
            <w:tcW w:type="dxa" w:w="1728"/>
          </w:tcPr>
          <w:p>
            <w:r>
              <w:rPr>
                <w:rFonts w:ascii="Calibri" w:hAnsi="Calibri"/>
                <w:sz w:val="22"/>
              </w:rPr>
              <w:t>2,368</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2,391</w:t>
            </w:r>
          </w:p>
        </w:tc>
        <w:tc>
          <w:tcPr>
            <w:tcW w:type="dxa" w:w="1728"/>
          </w:tcPr>
          <w:p>
            <w:r>
              <w:rPr>
                <w:rFonts w:ascii="Calibri" w:hAnsi="Calibri"/>
                <w:sz w:val="22"/>
              </w:rPr>
              <w:t>2,363</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2,400</w:t>
            </w:r>
          </w:p>
        </w:tc>
        <w:tc>
          <w:tcPr>
            <w:tcW w:type="dxa" w:w="1728"/>
          </w:tcPr>
          <w:p>
            <w:r>
              <w:rPr>
                <w:rFonts w:ascii="Calibri" w:hAnsi="Calibri"/>
                <w:sz w:val="22"/>
              </w:rPr>
              <w:t>2,359</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2,320</w:t>
            </w:r>
          </w:p>
        </w:tc>
        <w:tc>
          <w:tcPr>
            <w:tcW w:type="dxa" w:w="1728"/>
          </w:tcPr>
          <w:p>
            <w:r>
              <w:rPr>
                <w:rFonts w:ascii="Calibri" w:hAnsi="Calibri"/>
                <w:sz w:val="22"/>
              </w:rPr>
              <w:t>2,333</w:t>
            </w:r>
          </w:p>
        </w:tc>
        <w:tc>
          <w:tcPr>
            <w:tcW w:type="dxa" w:w="1728"/>
          </w:tcPr>
          <w:p>
            <w:r>
              <w:rPr>
                <w:rFonts w:ascii="Calibri" w:hAnsi="Calibri"/>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2,307</w:t>
            </w:r>
          </w:p>
        </w:tc>
        <w:tc>
          <w:tcPr>
            <w:tcW w:type="dxa" w:w="1728"/>
          </w:tcPr>
          <w:p>
            <w:r>
              <w:rPr>
                <w:rFonts w:ascii="Calibri" w:hAnsi="Calibri"/>
                <w:sz w:val="22"/>
              </w:rPr>
              <w:t>2,293</w:t>
            </w:r>
          </w:p>
        </w:tc>
        <w:tc>
          <w:tcPr>
            <w:tcW w:type="dxa" w:w="1728"/>
          </w:tcPr>
          <w:p>
            <w:r>
              <w:rPr>
                <w:rFonts w:ascii="Calibri" w:hAnsi="Calibri"/>
                <w:sz w:val="22"/>
              </w:rPr>
              <w:t>+0.6%</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COP has beaten adjusted EPS in 6 of the last 8 quarters (missing only Q2 2025 and Q4 2025) and beaten production in 7 of 8 quarters, demonstrating a consistent tendency to set conservative guidance and outperform — the Q2 2026 production bar (Qatar fully excluded) is the lowest in recent history, making a volume beat highly probable if any Qatar volumes return.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CapEx guidance modestly at Q1 2026 earnings (to $12.0–$12.5B from ~$12.0B) to fund incremental Permian activity, while holding OpEx flat at $10.2B and revising production guidance lower to reflect Qatar exclusion — tone remains constructive on LNG structural tightening and the $7B FCF inflection by 2029, with no post-earnings guidance revisions since April 30.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Production (MBOED)</w:t>
            </w:r>
          </w:p>
        </w:tc>
        <w:tc>
          <w:tcPr>
            <w:tcW w:type="dxa" w:w="1728"/>
          </w:tcPr>
          <w:p>
            <w:r>
              <w:rPr>
                <w:rFonts w:ascii="Calibri" w:hAnsi="Calibri"/>
                <w:sz w:val="22"/>
              </w:rPr>
              <w:t>Midpoint 2,200 MBOED (Qatar fully excluded; Surmont royalty adjustment; planned maintenance)</w:t>
            </w:r>
          </w:p>
        </w:tc>
        <w:tc>
          <w:tcPr>
            <w:tcW w:type="dxa" w:w="1728"/>
          </w:tcPr>
          <w:p>
            <w:r>
              <w:rPr>
                <w:rFonts w:ascii="Calibri" w:hAnsi="Calibri"/>
                <w:sz w:val="22"/>
              </w:rPr>
              <w:t>—</w:t>
            </w:r>
          </w:p>
        </w:tc>
        <w:tc>
          <w:tcPr>
            <w:tcW w:type="dxa" w:w="1728"/>
          </w:tcPr>
          <w:p>
            <w:r>
              <w:rPr>
                <w:rFonts w:ascii="Calibri" w:hAnsi="Calibri"/>
                <w:sz w:val="22"/>
              </w:rPr>
              <w:t>2,209 MBOED</w:t>
            </w:r>
          </w:p>
        </w:tc>
        <w:tc>
          <w:tcPr>
            <w:tcW w:type="dxa" w:w="1728"/>
          </w:tcPr>
          <w:p>
            <w:r>
              <w:rPr>
                <w:rFonts w:ascii="Calibri" w:hAnsi="Calibri"/>
                <w:sz w:val="22"/>
              </w:rPr>
              <w:t>No post-earnings revision; consensus sits just above guidance midpoint</w:t>
            </w:r>
          </w:p>
        </w:tc>
      </w:tr>
      <w:tr>
        <w:tc>
          <w:tcPr>
            <w:tcW w:type="dxa" w:w="1728"/>
          </w:tcPr>
          <w:p>
            <w:r>
              <w:rPr>
                <w:rFonts w:ascii="Calibri" w:hAnsi="Calibri"/>
                <w:sz w:val="22"/>
              </w:rPr>
              <w:t>FY 2026 Production (MBOED)</w:t>
            </w:r>
          </w:p>
        </w:tc>
        <w:tc>
          <w:tcPr>
            <w:tcW w:type="dxa" w:w="1728"/>
          </w:tcPr>
          <w:p>
            <w:r>
              <w:rPr>
                <w:rFonts w:ascii="Calibri" w:hAnsi="Calibri"/>
                <w:sz w:val="22"/>
              </w:rPr>
              <w:t>Midpoint 2,310 MBOED (revised down from prior ~2,345 MBOED; reflects 20 MBOED Qatar impact + 15 MBOED Surmont royalty)</w:t>
            </w:r>
          </w:p>
        </w:tc>
        <w:tc>
          <w:tcPr>
            <w:tcW w:type="dxa" w:w="1728"/>
          </w:tcPr>
          <w:p>
            <w:r>
              <w:rPr>
                <w:rFonts w:ascii="Calibri" w:hAnsi="Calibri"/>
                <w:sz w:val="22"/>
              </w:rPr>
              <w:t>—</w:t>
            </w:r>
          </w:p>
        </w:tc>
        <w:tc>
          <w:tcPr>
            <w:tcW w:type="dxa" w:w="1728"/>
          </w:tcPr>
          <w:p>
            <w:r>
              <w:rPr>
                <w:rFonts w:ascii="Calibri" w:hAnsi="Calibri"/>
                <w:sz w:val="22"/>
              </w:rPr>
              <w:t>2,302 MBOED</w:t>
            </w:r>
          </w:p>
        </w:tc>
        <w:tc>
          <w:tcPr>
            <w:tcW w:type="dxa" w:w="1728"/>
          </w:tcPr>
          <w:p>
            <w:r>
              <w:rPr>
                <w:rFonts w:ascii="Calibri" w:hAnsi="Calibri"/>
                <w:sz w:val="22"/>
              </w:rPr>
              <w:t>Consensus slightly below FY midpoint; Qatar uncertainty weighs</w:t>
            </w:r>
          </w:p>
        </w:tc>
      </w:tr>
      <w:tr>
        <w:tc>
          <w:tcPr>
            <w:tcW w:type="dxa" w:w="1728"/>
          </w:tcPr>
          <w:p>
            <w:r>
              <w:rPr>
                <w:rFonts w:ascii="Calibri" w:hAnsi="Calibri"/>
                <w:sz w:val="22"/>
              </w:rPr>
              <w:t>FY 2026 CapEx ($B)</w:t>
            </w:r>
          </w:p>
        </w:tc>
        <w:tc>
          <w:tcPr>
            <w:tcW w:type="dxa" w:w="1728"/>
          </w:tcPr>
          <w:p>
            <w:r>
              <w:rPr>
                <w:rFonts w:ascii="Calibri" w:hAnsi="Calibri"/>
                <w:sz w:val="22"/>
              </w:rPr>
              <w:t>$12.0–$12.5B (raised from ~$12.0B; +2% at midpoint; incremental Permian activity + NFE/NFS timing uncertainty)</w:t>
            </w:r>
          </w:p>
        </w:tc>
        <w:tc>
          <w:tcPr>
            <w:tcW w:type="dxa" w:w="1728"/>
          </w:tcPr>
          <w:p>
            <w:r>
              <w:rPr>
                <w:rFonts w:ascii="Calibri" w:hAnsi="Calibri"/>
                <w:sz w:val="22"/>
              </w:rPr>
              <w:t>—</w:t>
            </w:r>
          </w:p>
        </w:tc>
        <w:tc>
          <w:tcPr>
            <w:tcW w:type="dxa" w:w="1728"/>
          </w:tcPr>
          <w:p>
            <w:r>
              <w:rPr>
                <w:rFonts w:ascii="Calibri" w:hAnsi="Calibri"/>
                <w:sz w:val="22"/>
              </w:rPr>
              <w:t>$12.27B</w:t>
            </w:r>
          </w:p>
        </w:tc>
        <w:tc>
          <w:tcPr>
            <w:tcW w:type="dxa" w:w="1728"/>
          </w:tcPr>
          <w:p>
            <w:r>
              <w:rPr>
                <w:rFonts w:ascii="Calibri" w:hAnsi="Calibri"/>
                <w:sz w:val="22"/>
              </w:rPr>
              <w:t>Consensus at midpoint of raised range; no further revision since Q1 print</w:t>
            </w:r>
          </w:p>
        </w:tc>
      </w:tr>
      <w:tr>
        <w:tc>
          <w:tcPr>
            <w:tcW w:type="dxa" w:w="1728"/>
          </w:tcPr>
          <w:p>
            <w:r>
              <w:rPr>
                <w:rFonts w:ascii="Calibri" w:hAnsi="Calibri"/>
                <w:sz w:val="22"/>
              </w:rPr>
              <w:t>FY 2026 OpEx ($B)</w:t>
            </w:r>
          </w:p>
        </w:tc>
        <w:tc>
          <w:tcPr>
            <w:tcW w:type="dxa" w:w="1728"/>
          </w:tcPr>
          <w:p>
            <w:r>
              <w:rPr>
                <w:rFonts w:ascii="Calibri" w:hAnsi="Calibri"/>
                <w:sz w:val="22"/>
              </w:rPr>
              <w:t>$10.2B (unchanged; $400M reduction vs. 2025; cost reduction program on track for $1B run-rate by year-end)</w:t>
            </w:r>
          </w:p>
        </w:tc>
        <w:tc>
          <w:tcPr>
            <w:tcW w:type="dxa" w:w="1728"/>
          </w:tcPr>
          <w:p>
            <w:r>
              <w:rPr>
                <w:rFonts w:ascii="Calibri" w:hAnsi="Calibri"/>
                <w:sz w:val="22"/>
              </w:rPr>
              <w:t>—</w:t>
            </w:r>
          </w:p>
        </w:tc>
        <w:tc>
          <w:tcPr>
            <w:tcW w:type="dxa" w:w="1728"/>
          </w:tcPr>
          <w:p>
            <w:r>
              <w:rPr>
                <w:rFonts w:ascii="Calibri" w:hAnsi="Calibri"/>
                <w:sz w:val="22"/>
              </w:rPr>
              <w:t>$9.53B</w:t>
            </w:r>
          </w:p>
        </w:tc>
        <w:tc>
          <w:tcPr>
            <w:tcW w:type="dxa" w:w="1728"/>
          </w:tcPr>
          <w:p>
            <w:r>
              <w:rPr>
                <w:rFonts w:ascii="Calibri" w:hAnsi="Calibri"/>
                <w:sz w:val="22"/>
              </w:rPr>
              <w:t>Consensus below guidance; reflects lower production volumes reducing variable costs</w:t>
            </w:r>
          </w:p>
        </w:tc>
      </w:tr>
      <w:tr>
        <w:tc>
          <w:tcPr>
            <w:tcW w:type="dxa" w:w="1728"/>
          </w:tcPr>
          <w:p>
            <w:r>
              <w:rPr>
                <w:rFonts w:ascii="Calibri" w:hAnsi="Calibri"/>
                <w:sz w:val="22"/>
              </w:rPr>
              <w:t>Return of Capital</w:t>
            </w:r>
          </w:p>
        </w:tc>
        <w:tc>
          <w:tcPr>
            <w:tcW w:type="dxa" w:w="1728"/>
          </w:tcPr>
          <w:p>
            <w:r>
              <w:rPr>
                <w:rFonts w:ascii="Calibri" w:hAnsi="Calibri"/>
                <w:sz w:val="22"/>
              </w:rPr>
              <w:t>~45% of CFO through cycles; 8% base dividend increase (Q3 2025); variable dividend + buybacks</w:t>
            </w:r>
          </w:p>
        </w:tc>
        <w:tc>
          <w:tcPr>
            <w:tcW w:type="dxa" w:w="1728"/>
          </w:tcPr>
          <w:p>
            <w:r>
              <w:rPr>
                <w:rFonts w:ascii="Calibri" w:hAnsi="Calibri"/>
                <w:sz w:val="22"/>
              </w:rPr>
              <w:t>—</w:t>
            </w:r>
          </w:p>
        </w:tc>
        <w:tc>
          <w:tcPr>
            <w:tcW w:type="dxa" w:w="1728"/>
          </w:tcPr>
          <w:p>
            <w:r>
              <w:rPr>
                <w:rFonts w:ascii="Calibri" w:hAnsi="Calibri"/>
                <w:sz w:val="22"/>
              </w:rPr>
              <w:t>N/A (policy, not consensus)</w:t>
            </w:r>
          </w:p>
        </w:tc>
        <w:tc>
          <w:tcPr>
            <w:tcW w:type="dxa" w:w="1728"/>
          </w:tcPr>
          <w:p>
            <w:r>
              <w:rPr>
                <w:rFonts w:ascii="Calibri" w:hAnsi="Calibri"/>
                <w:sz w:val="22"/>
              </w:rPr>
              <w:t>Tone unchanged; management emphasized unhedged oil/LNG exposure directly benefits shareholders</w:t>
            </w:r>
          </w:p>
        </w:tc>
      </w:tr>
      <w:tr>
        <w:tc>
          <w:tcPr>
            <w:tcW w:type="dxa" w:w="1728"/>
          </w:tcPr>
          <w:p>
            <w:r>
              <w:rPr>
                <w:rFonts w:ascii="Calibri" w:hAnsi="Calibri"/>
                <w:sz w:val="22"/>
              </w:rPr>
              <w:t>Willow Project</w:t>
            </w:r>
          </w:p>
        </w:tc>
        <w:tc>
          <w:tcPr>
            <w:tcW w:type="dxa" w:w="1728"/>
          </w:tcPr>
          <w:p>
            <w:r>
              <w:rPr>
                <w:rFonts w:ascii="Calibri" w:hAnsi="Calibri"/>
                <w:sz w:val="22"/>
              </w:rPr>
              <w:t>50% complete; early oil 2029 on track; process modules &gt;50% complete in fabrication; sea lift to Alaska planned next summer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milestone-driven narrative; $7B FCF inflection by 2029 reaffirmed</w:t>
            </w:r>
          </w:p>
        </w:tc>
      </w:tr>
      <w:tr>
        <w:tc>
          <w:tcPr>
            <w:tcW w:type="dxa" w:w="1728"/>
          </w:tcPr>
          <w:p>
            <w:r>
              <w:rPr>
                <w:rFonts w:ascii="Calibri" w:hAnsi="Calibri"/>
                <w:sz w:val="22"/>
              </w:rPr>
              <w:t>Qatar NFE/NFS Start-Up</w:t>
            </w:r>
          </w:p>
        </w:tc>
        <w:tc>
          <w:tcPr>
            <w:tcW w:type="dxa" w:w="1728"/>
          </w:tcPr>
          <w:p>
            <w:r>
              <w:rPr>
                <w:rFonts w:ascii="Calibri" w:hAnsi="Calibri"/>
                <w:sz w:val="22"/>
              </w:rPr>
              <w:t>QE guided H2 2026 start-up; COP flagged delays of ‘months’; possible early 2027 start-up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watch item for Q2 call; any update on construction progress or timeline will move sentiment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have drifted modestly lower since the Q1 print (from $3.01 to $2.95, -2.1%), while FY 2026 EPS has also edged down (-5.3%), tracking the lower production guidance and oil price softness — the gap between consensus and guidance is not alarming, and the revision trend represents a modest cushion rather than a risk given the deliberately low production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5, 2026 — Post-Q1 Baseline)</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$3.01</w:t>
            </w:r>
          </w:p>
        </w:tc>
        <w:tc>
          <w:tcPr>
            <w:tcW w:type="dxa" w:w="1080"/>
          </w:tcPr>
          <w:p>
            <w:r>
              <w:rPr>
                <w:rFonts w:ascii="Calibri" w:hAnsi="Calibri"/>
                <w:sz w:val="22"/>
              </w:rPr>
              <w:t>$2.95</w:t>
            </w:r>
          </w:p>
        </w:tc>
        <w:tc>
          <w:tcPr>
            <w:tcW w:type="dxa" w:w="1080"/>
          </w:tcPr>
          <w:p>
            <w:r>
              <w:rPr>
                <w:rFonts w:ascii="Calibri" w:hAnsi="Calibri"/>
                <w:b/>
                <w:color w:val="E5484D"/>
                <w:sz w:val="22"/>
              </w:rPr>
              <w:t>-2.1%</w:t>
            </w:r>
          </w:p>
        </w:tc>
        <w:tc>
          <w:tcPr>
            <w:tcW w:type="dxa" w:w="1080"/>
          </w:tcPr>
          <w:p>
            <w:r>
              <w:rPr>
                <w:rFonts w:ascii="Calibri" w:hAnsi="Calibri"/>
                <w:sz w:val="22"/>
              </w:rPr>
              <w:t>No point guidance</w:t>
            </w:r>
          </w:p>
        </w:tc>
        <w:tc>
          <w:tcPr>
            <w:tcW w:type="dxa" w:w="1080"/>
          </w:tcPr>
          <w:p>
            <w:r>
              <w:rPr>
                <w:rFonts w:ascii="Calibri" w:hAnsi="Calibri"/>
                <w:sz w:val="22"/>
              </w:rPr>
              <w:t>No point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$10.01</w:t>
            </w:r>
          </w:p>
        </w:tc>
        <w:tc>
          <w:tcPr>
            <w:tcW w:type="dxa" w:w="1080"/>
          </w:tcPr>
          <w:p>
            <w:r>
              <w:rPr>
                <w:rFonts w:ascii="Calibri" w:hAnsi="Calibri"/>
                <w:sz w:val="22"/>
              </w:rPr>
              <w:t>$9.49</w:t>
            </w:r>
          </w:p>
        </w:tc>
        <w:tc>
          <w:tcPr>
            <w:tcW w:type="dxa" w:w="1080"/>
          </w:tcPr>
          <w:p>
            <w:r>
              <w:rPr>
                <w:rFonts w:ascii="Calibri" w:hAnsi="Calibri"/>
                <w:b/>
                <w:color w:val="E5484D"/>
                <w:sz w:val="22"/>
              </w:rPr>
              <w:t>-5.3%</w:t>
            </w:r>
          </w:p>
        </w:tc>
        <w:tc>
          <w:tcPr>
            <w:tcW w:type="dxa" w:w="1080"/>
          </w:tcPr>
          <w:p>
            <w:r>
              <w:rPr>
                <w:rFonts w:ascii="Calibri" w:hAnsi="Calibri"/>
                <w:sz w:val="22"/>
              </w:rPr>
              <w:t>No point guidance</w:t>
            </w:r>
          </w:p>
        </w:tc>
        <w:tc>
          <w:tcPr>
            <w:tcW w:type="dxa" w:w="1080"/>
          </w:tcPr>
          <w:p>
            <w:r>
              <w:rPr>
                <w:rFonts w:ascii="Calibri" w:hAnsi="Calibri"/>
                <w:sz w:val="22"/>
              </w:rPr>
              <w:t>No point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Production | Q2 2026 (MBOED)</w:t>
            </w:r>
          </w:p>
        </w:tc>
        <w:tc>
          <w:tcPr>
            <w:tcW w:type="dxa" w:w="1080"/>
          </w:tcPr>
          <w:p>
            <w:r>
              <w:rPr>
                <w:rFonts w:ascii="Calibri" w:hAnsi="Calibri"/>
                <w:sz w:val="22"/>
              </w:rPr>
              <w:t>2,215</w:t>
            </w:r>
          </w:p>
        </w:tc>
        <w:tc>
          <w:tcPr>
            <w:tcW w:type="dxa" w:w="1080"/>
          </w:tcPr>
          <w:p>
            <w:r>
              <w:rPr>
                <w:rFonts w:ascii="Calibri" w:hAnsi="Calibri"/>
                <w:sz w:val="22"/>
              </w:rPr>
              <w:t>2,209</w:t>
            </w:r>
          </w:p>
        </w:tc>
        <w:tc>
          <w:tcPr>
            <w:tcW w:type="dxa" w:w="1080"/>
          </w:tcPr>
          <w:p>
            <w:r>
              <w:rPr>
                <w:rFonts w:ascii="Calibri" w:hAnsi="Calibri"/>
                <w:sz w:val="22"/>
              </w:rPr>
              <w:t>-0.3%</w:t>
            </w:r>
          </w:p>
        </w:tc>
        <w:tc>
          <w:tcPr>
            <w:tcW w:type="dxa" w:w="1080"/>
          </w:tcPr>
          <w:p>
            <w:r>
              <w:rPr>
                <w:rFonts w:ascii="Calibri" w:hAnsi="Calibri"/>
                <w:sz w:val="22"/>
              </w:rPr>
              <w:t>Midpoint 2,200 MBOED</w:t>
            </w:r>
          </w:p>
        </w:tc>
        <w:tc>
          <w:tcPr>
            <w:tcW w:type="dxa" w:w="1080"/>
          </w:tcPr>
          <w:p>
            <w:r>
              <w:rPr>
                <w:rFonts w:ascii="Calibri" w:hAnsi="Calibri"/>
                <w:sz w:val="22"/>
              </w:rPr>
              <w:t>Midpoint 2,200 MBOED (unchanged)</w:t>
            </w:r>
          </w:p>
        </w:tc>
        <w:tc>
          <w:tcPr>
            <w:tcW w:type="dxa" w:w="1080"/>
          </w:tcPr>
          <w:p>
            <w:r>
              <w:rPr>
                <w:rFonts w:ascii="Calibri" w:hAnsi="Calibri"/>
                <w:sz w:val="22"/>
              </w:rPr>
              <w:t>Unchanged</w:t>
            </w:r>
          </w:p>
        </w:tc>
        <w:tc>
          <w:tcPr>
            <w:tcW w:type="dxa" w:w="1080"/>
          </w:tcPr>
          <w:p>
            <w:r>
              <w:rPr>
                <w:rFonts w:ascii="Calibri" w:hAnsi="Calibri"/>
                <w:sz w:val="22"/>
              </w:rPr>
              <w:t>+0.4% above midpoint</w:t>
            </w:r>
          </w:p>
        </w:tc>
      </w:tr>
      <w:tr>
        <w:tc>
          <w:tcPr>
            <w:tcW w:type="dxa" w:w="1080"/>
          </w:tcPr>
          <w:p>
            <w:r>
              <w:rPr>
                <w:rFonts w:ascii="Calibri" w:hAnsi="Calibri"/>
                <w:sz w:val="22"/>
              </w:rPr>
              <w:t>Production | FY 2026 (MBOED)</w:t>
            </w:r>
          </w:p>
        </w:tc>
        <w:tc>
          <w:tcPr>
            <w:tcW w:type="dxa" w:w="1080"/>
          </w:tcPr>
          <w:p>
            <w:r>
              <w:rPr>
                <w:rFonts w:ascii="Calibri" w:hAnsi="Calibri"/>
                <w:sz w:val="22"/>
              </w:rPr>
              <w:t>2,302</w:t>
            </w:r>
          </w:p>
        </w:tc>
        <w:tc>
          <w:tcPr>
            <w:tcW w:type="dxa" w:w="1080"/>
          </w:tcPr>
          <w:p>
            <w:r>
              <w:rPr>
                <w:rFonts w:ascii="Calibri" w:hAnsi="Calibri"/>
                <w:sz w:val="22"/>
              </w:rPr>
              <w:t>2,302</w:t>
            </w:r>
          </w:p>
        </w:tc>
        <w:tc>
          <w:tcPr>
            <w:tcW w:type="dxa" w:w="1080"/>
          </w:tcPr>
          <w:p>
            <w:r>
              <w:rPr>
                <w:rFonts w:ascii="Calibri" w:hAnsi="Calibri"/>
                <w:sz w:val="22"/>
              </w:rPr>
              <w:t>0.0%</w:t>
            </w:r>
          </w:p>
        </w:tc>
        <w:tc>
          <w:tcPr>
            <w:tcW w:type="dxa" w:w="1080"/>
          </w:tcPr>
          <w:p>
            <w:r>
              <w:rPr>
                <w:rFonts w:ascii="Calibri" w:hAnsi="Calibri"/>
                <w:sz w:val="22"/>
              </w:rPr>
              <w:t>Midpoint 2,310 MBOED</w:t>
            </w:r>
          </w:p>
        </w:tc>
        <w:tc>
          <w:tcPr>
            <w:tcW w:type="dxa" w:w="1080"/>
          </w:tcPr>
          <w:p>
            <w:r>
              <w:rPr>
                <w:rFonts w:ascii="Calibri" w:hAnsi="Calibri"/>
                <w:sz w:val="22"/>
              </w:rPr>
              <w:t>Midpoint 2,310 MBOED (unchanged)</w:t>
            </w:r>
          </w:p>
        </w:tc>
        <w:tc>
          <w:tcPr>
            <w:tcW w:type="dxa" w:w="1080"/>
          </w:tcPr>
          <w:p>
            <w:r>
              <w:rPr>
                <w:rFonts w:ascii="Calibri" w:hAnsi="Calibri"/>
                <w:sz w:val="22"/>
              </w:rPr>
              <w:t>Unchanged</w:t>
            </w:r>
          </w:p>
        </w:tc>
        <w:tc>
          <w:tcPr>
            <w:tcW w:type="dxa" w:w="1080"/>
          </w:tcPr>
          <w:p>
            <w:r>
              <w:rPr>
                <w:rFonts w:ascii="Calibri" w:hAnsi="Calibri"/>
                <w:sz w:val="22"/>
              </w:rPr>
              <w:t>-0.3% below midpoint</w:t>
            </w:r>
          </w:p>
        </w:tc>
      </w:tr>
      <w:tr>
        <w:tc>
          <w:tcPr>
            <w:tcW w:type="dxa" w:w="1080"/>
          </w:tcPr>
          <w:p>
            <w:r>
              <w:rPr>
                <w:rFonts w:ascii="Calibri" w:hAnsi="Calibri"/>
                <w:sz w:val="22"/>
              </w:rPr>
              <w:t>Total CapEx | FY 2026 ($B)</w:t>
            </w:r>
          </w:p>
        </w:tc>
        <w:tc>
          <w:tcPr>
            <w:tcW w:type="dxa" w:w="1080"/>
          </w:tcPr>
          <w:p>
            <w:r>
              <w:rPr>
                <w:rFonts w:ascii="Calibri" w:hAnsi="Calibri"/>
                <w:sz w:val="22"/>
              </w:rPr>
              <w:t>$12.27B</w:t>
            </w:r>
          </w:p>
        </w:tc>
        <w:tc>
          <w:tcPr>
            <w:tcW w:type="dxa" w:w="1080"/>
          </w:tcPr>
          <w:p>
            <w:r>
              <w:rPr>
                <w:rFonts w:ascii="Calibri" w:hAnsi="Calibri"/>
                <w:sz w:val="22"/>
              </w:rPr>
              <w:t>$12.27B</w:t>
            </w:r>
          </w:p>
        </w:tc>
        <w:tc>
          <w:tcPr>
            <w:tcW w:type="dxa" w:w="1080"/>
          </w:tcPr>
          <w:p>
            <w:r>
              <w:rPr>
                <w:rFonts w:ascii="Calibri" w:hAnsi="Calibri"/>
                <w:sz w:val="22"/>
              </w:rPr>
              <w:t>0.0%</w:t>
            </w:r>
          </w:p>
        </w:tc>
        <w:tc>
          <w:tcPr>
            <w:tcW w:type="dxa" w:w="1080"/>
          </w:tcPr>
          <w:p>
            <w:r>
              <w:rPr>
                <w:rFonts w:ascii="Calibri" w:hAnsi="Calibri"/>
                <w:sz w:val="22"/>
              </w:rPr>
              <w:t>$12.0–$12.5B</w:t>
            </w:r>
          </w:p>
        </w:tc>
        <w:tc>
          <w:tcPr>
            <w:tcW w:type="dxa" w:w="1080"/>
          </w:tcPr>
          <w:p>
            <w:r>
              <w:rPr>
                <w:rFonts w:ascii="Calibri" w:hAnsi="Calibri"/>
                <w:sz w:val="22"/>
              </w:rPr>
              <w:t>$12.0–$12.5B (unchanged)</w:t>
            </w:r>
          </w:p>
        </w:tc>
        <w:tc>
          <w:tcPr>
            <w:tcW w:type="dxa" w:w="1080"/>
          </w:tcPr>
          <w:p>
            <w:r>
              <w:rPr>
                <w:rFonts w:ascii="Calibri" w:hAnsi="Calibri"/>
                <w:sz w:val="22"/>
              </w:rPr>
              <w:t>Unchanged</w:t>
            </w:r>
          </w:p>
        </w:tc>
        <w:tc>
          <w:tcPr>
            <w:tcW w:type="dxa" w:w="1080"/>
          </w:tcPr>
          <w:p>
            <w:r>
              <w:rPr>
                <w:rFonts w:ascii="Calibri" w:hAnsi="Calibri"/>
                <w:sz w:val="22"/>
              </w:rPr>
              <w:t>At midpoint</w:t>
            </w:r>
          </w:p>
        </w:tc>
      </w:tr>
      <w:tr>
        <w:tc>
          <w:tcPr>
            <w:tcW w:type="dxa" w:w="1080"/>
          </w:tcPr>
          <w:p>
            <w:r>
              <w:rPr>
                <w:rFonts w:ascii="Calibri" w:hAnsi="Calibri"/>
                <w:sz w:val="22"/>
              </w:rPr>
              <w:t>FCF | Q2 2026 ($B)</w:t>
            </w:r>
          </w:p>
        </w:tc>
        <w:tc>
          <w:tcPr>
            <w:tcW w:type="dxa" w:w="1080"/>
          </w:tcPr>
          <w:p>
            <w:r>
              <w:rPr>
                <w:rFonts w:ascii="Calibri" w:hAnsi="Calibri"/>
                <w:sz w:val="22"/>
              </w:rPr>
              <w:t>$3.70B</w:t>
            </w:r>
          </w:p>
        </w:tc>
        <w:tc>
          <w:tcPr>
            <w:tcW w:type="dxa" w:w="1080"/>
          </w:tcPr>
          <w:p>
            <w:r>
              <w:rPr>
                <w:rFonts w:ascii="Calibri" w:hAnsi="Calibri"/>
                <w:sz w:val="22"/>
              </w:rPr>
              <w:t>$3.62B</w:t>
            </w:r>
          </w:p>
        </w:tc>
        <w:tc>
          <w:tcPr>
            <w:tcW w:type="dxa" w:w="1080"/>
          </w:tcPr>
          <w:p>
            <w:r>
              <w:rPr>
                <w:rFonts w:ascii="Calibri" w:hAnsi="Calibri"/>
                <w:b/>
                <w:color w:val="E5484D"/>
                <w:sz w:val="22"/>
              </w:rPr>
              <w:t>-2.1%</w:t>
            </w:r>
          </w:p>
        </w:tc>
        <w:tc>
          <w:tcPr>
            <w:tcW w:type="dxa" w:w="1080"/>
          </w:tcPr>
          <w:p>
            <w:r>
              <w:rPr>
                <w:rFonts w:ascii="Calibri" w:hAnsi="Calibri"/>
                <w:sz w:val="22"/>
              </w:rPr>
              <w:t>No point guidance</w:t>
            </w:r>
          </w:p>
        </w:tc>
        <w:tc>
          <w:tcPr>
            <w:tcW w:type="dxa" w:w="1080"/>
          </w:tcPr>
          <w:p>
            <w:r>
              <w:rPr>
                <w:rFonts w:ascii="Calibri" w:hAnsi="Calibri"/>
                <w:sz w:val="22"/>
              </w:rPr>
              <w:t>No point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EPS and FCF estimates have drifted modestly lower since the Q1 print, consistent with lower production guidance and oil price softness, but the magnitude of revision is small and the production consensus is essentially pinned to guidance — suggesting the street has fully absorbed the Qatar headwind and is not pricing in incremental downside. Any Qatar volume recovery in Q2 would be pure upside to both production and EPS.</w:t>
      </w:r>
    </w:p>
    <w:p>
      <w:r>
        <w:rPr>
          <w:rFonts w:ascii="Calibri" w:hAnsi="Calibri"/>
          <w:i/>
          <w:color w:val="525866"/>
          <w:sz w:val="22"/>
        </w:rPr>
        <w:t>Source: Visible Alpha consensus and actuals data. Post-Q1 baseline as of May 5, 2026 (5 trading days post-earnings).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COP has significantly underperformed both its E&amp;P peer group (XOP) and the broader market (S&amp;P 500) since Q1 2026 earnings — down ~6.2% vs. XOP -3.5% and SPY +7.3% — driven by multiple compression on oil price softness and geopolitical overhang from Qatar, not estimate revisions; the stock is not pricing in a beat, creating an asymmetric setup into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COP vs. XOP (E&amp;P ETF) vs. S&amp;P 500 — Indexed to 100 at Q1 2026 Earnings (April 30, 2026). Source: Yahoo Finance.</w:t>
      </w:r>
    </w:p>
    <w:p>
      <w:r>
        <w:rPr>
          <w:rFonts w:ascii="Calibri" w:hAnsi="Calibri"/>
          <w:color w:val="525866"/>
          <w:sz w:val="22"/>
        </w:rPr>
        <w:t xml:space="preserve">Since Q1 2026 earnings on April 30, 2026, COP closed at $125.78 and has since declined to $117.94 as of August 4, 2026 (most recent close), a loss of approximately </w:t>
      </w:r>
      <w:r>
        <w:rPr>
          <w:rFonts w:ascii="Calibri" w:hAnsi="Calibri"/>
          <w:b/>
          <w:color w:val="525866"/>
          <w:sz w:val="22"/>
        </w:rPr>
        <w:t>-6.2%</w:t>
      </w:r>
      <w:r>
        <w:rPr>
          <w:rFonts w:ascii="Calibri" w:hAnsi="Calibri"/>
          <w:color w:val="525866"/>
          <w:sz w:val="22"/>
        </w:rPr>
        <w:t xml:space="preserve">. Over the same period, the XOP E&amp;P ETF declined </w:t>
      </w:r>
      <w:r>
        <w:rPr>
          <w:rFonts w:ascii="Calibri" w:hAnsi="Calibri"/>
          <w:b/>
          <w:color w:val="525866"/>
          <w:sz w:val="22"/>
        </w:rPr>
        <w:t>-3.5%</w:t>
      </w:r>
      <w:r>
        <w:rPr>
          <w:rFonts w:ascii="Calibri" w:hAnsi="Calibri"/>
          <w:color w:val="525866"/>
          <w:sz w:val="22"/>
        </w:rPr>
        <w:t xml:space="preserve"> and the S&amp;P 500 gained </w:t>
      </w:r>
      <w:r>
        <w:rPr>
          <w:rFonts w:ascii="Calibri" w:hAnsi="Calibri"/>
          <w:b/>
          <w:color w:val="525866"/>
          <w:sz w:val="22"/>
        </w:rPr>
        <w:t>+7.3%</w:t>
      </w:r>
      <w:r>
        <w:rPr>
          <w:rFonts w:ascii="Calibri" w:hAnsi="Calibri"/>
          <w:color w:val="525866"/>
          <w:sz w:val="22"/>
        </w:rPr>
        <w:t>, implying COP underperformed the market by roughly 13 percentage points. The underperformance is attributable to three factors: (1) oil price softness as Middle East supply disruption fears were partially offset by demand destruction concerns; (2) the Qatar production exclusion from guidance, which removed ~3% of company production and CFO from near-term estimates; and (3) sector-wide multiple compression as energy underperformed the broader market rally. Notably, the stock has not re-rated higher despite the EPS beat at Q1 — the negative stock reaction on earnings day (closed at $125.78 vs. prior close of $128.25) set the tone for the subsequent drift lower. The current price of ~$115–$118 implies the market is pricing in continued Qatar disruption and no near-term recovery, creating an asymmetric setup where any constructive Qatar commentary or production upside could drive a meaningful re-rating.</w:t>
      </w:r>
    </w:p>
    <w:p>
      <w:r>
        <w:rPr>
          <w:rFonts w:ascii="Calibri" w:hAnsi="Calibri"/>
          <w:b/>
          <w:color w:val="525866"/>
          <w:sz w:val="22"/>
        </w:rPr>
        <w:t xml:space="preserve">Key events since Q1 earnings: </w:t>
      </w:r>
      <w:r>
        <w:rPr>
          <w:rFonts w:ascii="Calibri" w:hAnsi="Calibri"/>
          <w:color w:val="525866"/>
          <w:sz w:val="22"/>
        </w:rPr>
        <w:t>June 10 — Director Sharmila Mulligan sold 1,974 shares (open market, non-10b5-1); June 22 — Morgan Stanley lowered PT from $153 to $146 (maintained Overweight); June 22 — Royal Bank of Canada set target at $130; June 23 — Legal Chief Kelly Rose announced retirement (8-K); June 26 — Goldman Sachs lowered PT from $144 to $138 (maintained Buy); Roth/MKM upgraded from Neutral to Buy on June 3 (PT $124 to $130).</w:t>
      </w:r>
    </w:p>
    <w:p>
      <w:r>
        <w:rPr>
          <w:rFonts w:ascii="Calibri" w:hAnsi="Calibri"/>
          <w:i/>
          <w:color w:val="525866"/>
          <w:sz w:val="22"/>
        </w:rPr>
        <w:t>Source: Yahoo Finance stock price data. Sector ETF: XOP (SPDR S&amp;P Oil &amp; Gas Exploration &amp; Production ETF).</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structural LNG supply shock from the Middle East conflict — QatarEnergy's disclosure of a multi-year impact on global LNG supply (3–5 years) directly validates COP's LNG thesis and creates a constructive backdrop for Port Arthur Phase 1 and the Equatorial Guinea tolling agreement, even as Qatar production remains offline.</w:t>
      </w:r>
    </w:p>
    <w:p>
      <w:pPr>
        <w:pStyle w:val="ListBullet"/>
        <w:ind w:left="360" w:hanging="360"/>
      </w:pPr>
      <w:r>
        <w:rPr>
          <w:rFonts w:ascii="Calibri" w:hAnsi="Calibri"/>
          <w:b/>
          <w:color w:val="525866"/>
          <w:sz w:val="22"/>
        </w:rPr>
        <w:t>April 30, 2026 — Q1 2026 Earnings Beat; Qatar Production Excluded from Q2 Guidance.</w:t>
      </w:r>
      <w:r>
        <w:rPr>
          <w:rFonts w:ascii="Calibri" w:hAnsi="Calibri"/>
          <w:color w:val="525866"/>
          <w:sz w:val="22"/>
        </w:rPr>
        <w:t xml:space="preserve"> COP reported adjusted EPS of $1.90 vs. consensus $1.72 (+10.5% beat). Management excluded Qatar production entirely from Q2 guidance (midpoint 2,200 MBOED) and revised FY 2026 production guidance to 2,310 MBOED midpoint. CapEx guidance raised to $12.0–$12.5B. Stock declined on earnings day despite the EPS beat, as the production guidance reduction and Qatar uncertainty weighed on sentiment. </w:t>
      </w:r>
      <w:r>
        <w:rPr>
          <w:rFonts w:ascii="Calibri" w:hAnsi="Calibri"/>
          <w:b/>
          <w:color w:val="525866"/>
          <w:sz w:val="22"/>
        </w:rPr>
        <w:t>Implication: Sets a low production bar for Q2 — any Qatar resumption is upside.</w:t>
      </w:r>
    </w:p>
    <w:p>
      <w:pPr>
        <w:pStyle w:val="ListBullet"/>
        <w:ind w:left="360" w:hanging="360"/>
      </w:pPr>
      <w:r>
        <w:rPr>
          <w:rFonts w:ascii="Calibri" w:hAnsi="Calibri"/>
          <w:b/>
          <w:color w:val="525866"/>
          <w:sz w:val="22"/>
        </w:rPr>
        <w:t>April 30, 2026 — QatarEnergy Discloses Multi-Year LNG Supply Impact.</w:t>
      </w:r>
      <w:r>
        <w:rPr>
          <w:rFonts w:ascii="Calibri" w:hAnsi="Calibri"/>
          <w:color w:val="525866"/>
          <w:sz w:val="22"/>
        </w:rPr>
        <w:t xml:space="preserve"> QatarEnergy confirmed two LNG trains struck at Ras Laffan, removing ~12 MTPA from the global market, with a guided 3–5 year impact on global LNG supply. NFE/NFS construction continues but delays of months expected; H2 2026 start-up could extend into early 2027. </w:t>
      </w:r>
      <w:r>
        <w:rPr>
          <w:rFonts w:ascii="Calibri" w:hAnsi="Calibri"/>
          <w:b/>
          <w:color w:val="525866"/>
          <w:sz w:val="22"/>
        </w:rPr>
        <w:t>Implication: Structurally tightens global LNG markets, directly benefiting COP's Port Arthur Phase 1 (first LNG 2027) and existing LNG assets priced off Brent.</w:t>
      </w:r>
    </w:p>
    <w:p>
      <w:pPr>
        <w:pStyle w:val="ListBullet"/>
        <w:ind w:left="360" w:hanging="360"/>
      </w:pPr>
      <w:r>
        <w:rPr>
          <w:rFonts w:ascii="Calibri" w:hAnsi="Calibri"/>
          <w:b/>
          <w:color w:val="525866"/>
          <w:sz w:val="22"/>
        </w:rPr>
        <w:t>April 30, 2026 — Willow Project Reaches 50% Completion Milestone.</w:t>
      </w:r>
      <w:r>
        <w:rPr>
          <w:rFonts w:ascii="Calibri" w:hAnsi="Calibri"/>
          <w:color w:val="525866"/>
          <w:sz w:val="22"/>
        </w:rPr>
        <w:t xml:space="preserve"> Gravel scope complete; process modules &gt;50% complete in fabrication; sea lift to Alaska planned for next summer. Early oil 2029 target reaffirmed. Alaska 4-well exploration program completed with hydrocarbon discoveries. </w:t>
      </w:r>
      <w:r>
        <w:rPr>
          <w:rFonts w:ascii="Calibri" w:hAnsi="Calibri"/>
          <w:b/>
          <w:color w:val="525866"/>
          <w:sz w:val="22"/>
        </w:rPr>
        <w:t>Implication: Execution on track; underpins $7B FCF inflection by 2029.</w:t>
      </w:r>
    </w:p>
    <w:p>
      <w:pPr>
        <w:pStyle w:val="ListBullet"/>
        <w:ind w:left="360" w:hanging="360"/>
      </w:pPr>
      <w:r>
        <w:rPr>
          <w:rFonts w:ascii="Calibri" w:hAnsi="Calibri"/>
          <w:b/>
          <w:color w:val="525866"/>
          <w:sz w:val="22"/>
        </w:rPr>
        <w:t>April 30, 2026 — Equatorial Guinea Tolling Agreement Executed.</w:t>
      </w:r>
      <w:r>
        <w:rPr>
          <w:rFonts w:ascii="Calibri" w:hAnsi="Calibri"/>
          <w:color w:val="525866"/>
          <w:sz w:val="22"/>
        </w:rPr>
        <w:t xml:space="preserve"> COP executed a third-party tolling agreement extending the EG LNG facility life well into the 2030s, supported by discovered gas resource in Equatorial Guinea waters. </w:t>
      </w:r>
      <w:r>
        <w:rPr>
          <w:rFonts w:ascii="Calibri" w:hAnsi="Calibri"/>
          <w:b/>
          <w:color w:val="525866"/>
          <w:sz w:val="22"/>
        </w:rPr>
        <w:t>Implication: Extends LNG revenue stream and validates long-term LNG portfolio strategy.</w:t>
      </w:r>
    </w:p>
    <w:p>
      <w:pPr>
        <w:pStyle w:val="ListBullet"/>
        <w:ind w:left="360" w:hanging="360"/>
      </w:pPr>
      <w:r>
        <w:rPr>
          <w:rFonts w:ascii="Calibri" w:hAnsi="Calibri"/>
          <w:b/>
          <w:color w:val="525866"/>
          <w:sz w:val="22"/>
        </w:rPr>
        <w:t>May 14, 2026 — Shareholders Reject Independent Board Chairman Proposal (8-K).</w:t>
      </w:r>
      <w:r>
        <w:rPr>
          <w:rFonts w:ascii="Calibri" w:hAnsi="Calibri"/>
          <w:color w:val="525866"/>
          <w:sz w:val="22"/>
        </w:rPr>
        <w:t xml:space="preserve"> Annual meeting vote; governance proposal defeated. No material operational impact. </w:t>
      </w:r>
      <w:r>
        <w:rPr>
          <w:rFonts w:ascii="Calibri" w:hAnsi="Calibri"/>
          <w:b/>
          <w:color w:val="525866"/>
          <w:sz w:val="22"/>
        </w:rPr>
        <w:t>Implication: Minimal; governance status quo maintained.</w:t>
      </w:r>
    </w:p>
    <w:p>
      <w:pPr>
        <w:pStyle w:val="ListBullet"/>
        <w:ind w:left="360" w:hanging="360"/>
      </w:pPr>
      <w:r>
        <w:rPr>
          <w:rFonts w:ascii="Calibri" w:hAnsi="Calibri"/>
          <w:b/>
          <w:color w:val="525866"/>
          <w:sz w:val="22"/>
        </w:rPr>
        <w:t>June 3, 2026 — Roth/MKM Upgrades COP to Buy (PT $130 from $124).</w:t>
      </w:r>
      <w:r>
        <w:rPr>
          <w:rFonts w:ascii="Calibri" w:hAnsi="Calibri"/>
          <w:color w:val="525866"/>
          <w:sz w:val="22"/>
        </w:rPr>
        <w:t xml:space="preserve"> Analyst Leo Mariani upgraded from Neutral to Buy, citing valuation and LNG upside. </w:t>
      </w:r>
      <w:r>
        <w:rPr>
          <w:rFonts w:ascii="Calibri" w:hAnsi="Calibri"/>
          <w:b/>
          <w:color w:val="525866"/>
          <w:sz w:val="22"/>
        </w:rPr>
        <w:t>Implication: Positive sentiment signal; stock was trading ~$119 at upgrade.</w:t>
      </w:r>
    </w:p>
    <w:p>
      <w:pPr>
        <w:pStyle w:val="ListBullet"/>
        <w:ind w:left="360" w:hanging="360"/>
      </w:pPr>
      <w:r>
        <w:rPr>
          <w:rFonts w:ascii="Calibri" w:hAnsi="Calibri"/>
          <w:b/>
          <w:color w:val="525866"/>
          <w:sz w:val="22"/>
        </w:rPr>
        <w:t>June 10, 2026 — Director Sharmila Mulligan Sells 1,974 Shares ($119.92/share, ~$237K).</w:t>
      </w:r>
      <w:r>
        <w:rPr>
          <w:rFonts w:ascii="Calibri" w:hAnsi="Calibri"/>
          <w:color w:val="525866"/>
          <w:sz w:val="22"/>
        </w:rPr>
        <w:t xml:space="preserve"> Open market sale, non-10b5-1. Only insider transaction in the period. </w:t>
      </w:r>
      <w:r>
        <w:rPr>
          <w:rFonts w:ascii="Calibri" w:hAnsi="Calibri"/>
          <w:b/>
          <w:color w:val="525866"/>
          <w:sz w:val="22"/>
        </w:rPr>
        <w:t>Implication: Modest in size; not a strong directional signal.</w:t>
      </w:r>
    </w:p>
    <w:p>
      <w:pPr>
        <w:pStyle w:val="ListBullet"/>
        <w:ind w:left="360" w:hanging="360"/>
      </w:pPr>
      <w:r>
        <w:rPr>
          <w:rFonts w:ascii="Calibri" w:hAnsi="Calibri"/>
          <w:b/>
          <w:color w:val="525866"/>
          <w:sz w:val="22"/>
        </w:rPr>
        <w:t>June 22–26, 2026 — Multiple Analyst Price Target Reductions.</w:t>
      </w:r>
      <w:r>
        <w:rPr>
          <w:rFonts w:ascii="Calibri" w:hAnsi="Calibri"/>
          <w:color w:val="525866"/>
          <w:sz w:val="22"/>
        </w:rPr>
        <w:t xml:space="preserve"> Morgan Stanley lowered PT from $153 to $146 (maintained Overweight); Goldman Sachs lowered PT from $144 to $138 (maintained Buy); Royal Bank of Canada set target at $130. Reductions reflect lower oil price assumptions and Qatar uncertainty, not fundamental deterioration. </w:t>
      </w:r>
      <w:r>
        <w:rPr>
          <w:rFonts w:ascii="Calibri" w:hAnsi="Calibri"/>
          <w:b/>
          <w:color w:val="525866"/>
          <w:sz w:val="22"/>
        </w:rPr>
        <w:t>Implication: Consensus PT compression has already occurred; further downside from PT cuts is limited.</w:t>
      </w:r>
    </w:p>
    <w:p>
      <w:pPr>
        <w:pStyle w:val="ListBullet"/>
        <w:ind w:left="360" w:hanging="360"/>
      </w:pPr>
      <w:r>
        <w:rPr>
          <w:rFonts w:ascii="Calibri" w:hAnsi="Calibri"/>
          <w:b/>
          <w:color w:val="525866"/>
          <w:sz w:val="22"/>
        </w:rPr>
        <w:t>June 23, 2026 — Legal Chief Kelly Rose Announces Retirement (8-K).</w:t>
      </w:r>
      <w:r>
        <w:rPr>
          <w:rFonts w:ascii="Calibri" w:hAnsi="Calibri"/>
          <w:color w:val="525866"/>
          <w:sz w:val="22"/>
        </w:rPr>
        <w:t xml:space="preserve"> General Counsel and EVP Kelly Rose to retire. Succession planning underway. </w:t>
      </w:r>
      <w:r>
        <w:rPr>
          <w:rFonts w:ascii="Calibri" w:hAnsi="Calibri"/>
          <w:b/>
          <w:color w:val="525866"/>
          <w:sz w:val="22"/>
        </w:rPr>
        <w:t>Implication: Routine leadership transition; no operational impact.</w:t>
      </w:r>
    </w:p>
    <w:p>
      <w:pPr>
        <w:pStyle w:val="ListBullet"/>
        <w:ind w:left="360" w:hanging="360"/>
      </w:pPr>
      <w:r>
        <w:rPr>
          <w:rFonts w:ascii="Calibri" w:hAnsi="Calibri"/>
          <w:b/>
          <w:color w:val="525866"/>
          <w:sz w:val="22"/>
        </w:rPr>
        <w:t>June 25, 2026 — Q2 2026 Earnings Call Scheduled for August 6, 2026.</w:t>
      </w:r>
      <w:r>
        <w:rPr>
          <w:rFonts w:ascii="Calibri" w:hAnsi="Calibri"/>
          <w:color w:val="525866"/>
          <w:sz w:val="22"/>
        </w:rPr>
        <w:t xml:space="preserve"> COP confirmed earnings date via press release. </w:t>
      </w:r>
      <w:r>
        <w:rPr>
          <w:rFonts w:ascii="Calibri" w:hAnsi="Calibri"/>
          <w:b/>
          <w:color w:val="525866"/>
          <w:sz w:val="22"/>
        </w:rPr>
        <w:t>Implication: Confirms reporting timeline; no surprise.</w:t>
      </w:r>
    </w:p>
    <w:p>
      <w:pPr>
        <w:pStyle w:val="ListBullet"/>
        <w:ind w:left="360" w:hanging="360"/>
      </w:pPr>
      <w:r>
        <w:rPr>
          <w:rFonts w:ascii="Calibri" w:hAnsi="Calibri"/>
          <w:b/>
          <w:color w:val="525866"/>
          <w:sz w:val="22"/>
        </w:rPr>
        <w:t>Ongoing — Permian Divestiture Data Room Open.</w:t>
      </w:r>
      <w:r>
        <w:rPr>
          <w:rFonts w:ascii="Calibri" w:hAnsi="Calibri"/>
          <w:color w:val="525866"/>
          <w:sz w:val="22"/>
        </w:rPr>
        <w:t xml:space="preserve"> COP has a data room open for non-core Permian asset packages (assets not expected to be developed for 10–15 years). ~$2B remaining of the $5B divestiture program. </w:t>
      </w:r>
      <w:r>
        <w:rPr>
          <w:rFonts w:ascii="Calibri" w:hAnsi="Calibri"/>
          <w:b/>
          <w:color w:val="525866"/>
          <w:sz w:val="22"/>
        </w:rPr>
        <w:t>Implication: Potential catalyst if a transaction is announced; proceeds would support shareholder returns.</w:t>
      </w:r>
    </w:p>
    <w:p>
      <w:pPr>
        <w:pStyle w:val="ListBullet"/>
        <w:ind w:left="360" w:hanging="360"/>
      </w:pPr>
      <w:r>
        <w:rPr>
          <w:rFonts w:ascii="Calibri" w:hAnsi="Calibri"/>
          <w:b/>
          <w:color w:val="525866"/>
          <w:sz w:val="22"/>
        </w:rPr>
        <w:t>Ongoing — Port Arthur LNG Phase 1 Progressing.</w:t>
      </w:r>
      <w:r>
        <w:rPr>
          <w:rFonts w:ascii="Calibri" w:hAnsi="Calibri"/>
          <w:color w:val="525866"/>
          <w:sz w:val="22"/>
        </w:rPr>
        <w:t xml:space="preserve"> First LNG expected in 2027. First tranche of capacity placed predominantly into Europe and Asia. Management noted intensifying interest in remaining uncommitted volumes amid LNG supply tightening. </w:t>
      </w:r>
      <w:r>
        <w:rPr>
          <w:rFonts w:ascii="Calibri" w:hAnsi="Calibri"/>
          <w:b/>
          <w:color w:val="525866"/>
          <w:sz w:val="22"/>
        </w:rPr>
        <w:t>Implication: LNG supply shock accelerates commercial momentum for uncommitted volumes.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Q2 2026 peer earnings calls from CVX, XOM, EOG, DVN, and FANG collectively confirm the constructive macro backdrop for COP — higher oil realizations, structurally tight LNG/product markets, continued Permian cost efficiency, and a bullish inventory-driven oil price outlook — all of which are direct tailwinds for COP's unhedged, diversified portfolio heading into its August 6 print.</w:t>
      </w:r>
    </w:p>
    <w:p>
      <w:r>
        <w:rPr>
          <w:rFonts w:ascii="Calibri" w:hAnsi="Calibri"/>
          <w:i/>
          <w:color w:val="525866"/>
          <w:sz w:val="22"/>
        </w:rPr>
        <w:t>Note: All commentary below is sourced from Q2 2026 earnings calls (reported July 31 – August 5, 2026) and is directly relevant to COP's Q2 2026 reporting quarter.</w:t>
      </w:r>
    </w:p>
    <w:p>
      <w:pPr>
        <w:pStyle w:val="Heading3"/>
      </w:pPr>
      <w:r>
        <w:rPr>
          <w:rFonts w:ascii="Calibri" w:hAnsi="Calibri"/>
          <w:b/>
          <w:color w:val="3B4259"/>
          <w:sz w:val="24"/>
        </w:rPr>
        <w:t>Chevron (CVX) — Q2 2026 Earnings Call (July 31, 2026)</w:t>
      </w:r>
    </w:p>
    <w:p>
      <w:pPr>
        <w:pStyle w:val="ListBullet"/>
        <w:ind w:left="360" w:hanging="360"/>
      </w:pPr>
      <w:r>
        <w:rPr>
          <w:rFonts w:ascii="Calibri" w:hAnsi="Calibri"/>
          <w:b/>
          <w:color w:val="525866"/>
          <w:sz w:val="22"/>
        </w:rPr>
        <w:t>Record U.S. upstream production of ~2.1 million BOED; global production grew &gt;5% QoQ.</w:t>
      </w:r>
      <w:r>
        <w:rPr>
          <w:rFonts w:ascii="Calibri" w:hAnsi="Calibri"/>
          <w:color w:val="525866"/>
          <w:sz w:val="22"/>
        </w:rPr>
        <w:t xml:space="preserve"> CVX set records for total U.S. production, Permian production, and Gulf of America throughput. Permian has operated above 1 million BOED for five consecutive quarters. </w:t>
      </w:r>
      <w:r>
        <w:rPr>
          <w:rFonts w:ascii="Calibri" w:hAnsi="Calibri"/>
          <w:b/>
          <w:color w:val="525866"/>
          <w:sz w:val="22"/>
        </w:rPr>
        <w:t>COP read-through: Confirms strong Permian operating environment and high-price realizations in Q2; COP's Lower 48 (including Permian) should benefit from the same tailwinds.</w:t>
      </w:r>
    </w:p>
    <w:p>
      <w:pPr>
        <w:pStyle w:val="ListBullet"/>
        <w:ind w:left="360" w:hanging="360"/>
      </w:pPr>
      <w:r>
        <w:rPr>
          <w:rFonts w:ascii="Calibri" w:hAnsi="Calibri"/>
          <w:b/>
          <w:color w:val="525866"/>
          <w:sz w:val="22"/>
        </w:rPr>
        <w:t>Adjusted earnings of $12.0B ($6.06/share); cash flow from operations ~$20B; adjusted FCF $15.4B.</w:t>
      </w:r>
      <w:r>
        <w:rPr>
          <w:rFonts w:ascii="Calibri" w:hAnsi="Calibri"/>
          <w:color w:val="525866"/>
          <w:sz w:val="22"/>
        </w:rPr>
        <w:t xml:space="preserve"> Adjusted upstream earnings increased on higher realizations, higher liftings, and favorable timing. Downstream earnings rose on higher refining margins. </w:t>
      </w:r>
      <w:r>
        <w:rPr>
          <w:rFonts w:ascii="Calibri" w:hAnsi="Calibri"/>
          <w:b/>
          <w:color w:val="525866"/>
          <w:sz w:val="22"/>
        </w:rPr>
        <w:t>COP read-through: Strong realizations and refining margins in Q2 are a direct positive for COP's unhedged oil and LNG portfolio.</w:t>
      </w:r>
    </w:p>
    <w:p>
      <w:pPr>
        <w:pStyle w:val="ListBullet"/>
        <w:ind w:left="360" w:hanging="360"/>
      </w:pPr>
      <w:r>
        <w:rPr>
          <w:rFonts w:ascii="Calibri" w:hAnsi="Calibri"/>
          <w:b/>
          <w:color w:val="525866"/>
          <w:sz w:val="22"/>
        </w:rPr>
        <w:t>European natural gas market described as ‘exceptionally tight.’</w:t>
      </w:r>
      <w:r>
        <w:rPr>
          <w:rFonts w:ascii="Calibri" w:hAnsi="Calibri"/>
          <w:color w:val="525866"/>
          <w:sz w:val="22"/>
        </w:rPr>
        <w:t xml:space="preserve"> CVX noted that JKM and TTF prices have been firming, with strong demand in North Asia and Europe. Australian LNG (Gorgon/Wheatstone) typically sees volume uplift in H2. West Africa LNG moving steadily into Europe. North America LNG position of 4 MTPA coming online over next few years, primarily destined for Europe. </w:t>
      </w:r>
      <w:r>
        <w:rPr>
          <w:rFonts w:ascii="Calibri" w:hAnsi="Calibri"/>
          <w:b/>
          <w:color w:val="525866"/>
          <w:sz w:val="22"/>
        </w:rPr>
        <w:t>COP read-through: Directly validates COP's LNG structural tightening thesis; Port Arthur Phase 1 (first LNG 2027, primarily Europe/Asia) is well-positioned in a tight market.</w:t>
      </w:r>
    </w:p>
    <w:p>
      <w:pPr>
        <w:pStyle w:val="ListBullet"/>
        <w:ind w:left="360" w:hanging="360"/>
      </w:pPr>
      <w:r>
        <w:rPr>
          <w:rFonts w:ascii="Calibri" w:hAnsi="Calibri"/>
          <w:b/>
          <w:color w:val="525866"/>
          <w:sz w:val="22"/>
        </w:rPr>
        <w:t>Middle East conflict impact isolated to partition zone (~1% of Q2 production for CVX).</w:t>
      </w:r>
      <w:r>
        <w:rPr>
          <w:rFonts w:ascii="Calibri" w:hAnsi="Calibri"/>
          <w:color w:val="525866"/>
          <w:sz w:val="22"/>
        </w:rPr>
        <w:t xml:space="preserve"> CVX's exposure was limited; COP's Qatar exposure is more significant (~3% of production/CFO). CVX noted continued inhibition of Strait of Hormuz transit even after conflict resolution. </w:t>
      </w:r>
      <w:r>
        <w:rPr>
          <w:rFonts w:ascii="Calibri" w:hAnsi="Calibri"/>
          <w:b/>
          <w:color w:val="525866"/>
          <w:sz w:val="22"/>
        </w:rPr>
        <w:t>COP read-through: CVX's limited Qatar exposure means COP's production miss relative to pre-conflict levels is COP-specific, not sector-wide — the market should understand this distinction.</w:t>
      </w:r>
    </w:p>
    <w:p>
      <w:pPr>
        <w:pStyle w:val="ListBullet"/>
        <w:ind w:left="360" w:hanging="360"/>
      </w:pPr>
      <w:r>
        <w:rPr>
          <w:rFonts w:ascii="Calibri" w:hAnsi="Calibri"/>
          <w:b/>
          <w:color w:val="525866"/>
          <w:sz w:val="22"/>
        </w:rPr>
        <w:t>Structural cost reduction target achieved 6 months early; $3B annual run-rate savings since 2024.</w:t>
      </w:r>
      <w:r>
        <w:rPr>
          <w:rFonts w:ascii="Calibri" w:hAnsi="Calibri"/>
          <w:color w:val="525866"/>
          <w:sz w:val="22"/>
        </w:rPr>
        <w:t xml:space="preserve"> &gt;70% from efficiency gains. Cash costs holding flat YoY, offsetting inflation. </w:t>
      </w:r>
      <w:r>
        <w:rPr>
          <w:rFonts w:ascii="Calibri" w:hAnsi="Calibri"/>
          <w:b/>
          <w:color w:val="525866"/>
          <w:sz w:val="22"/>
        </w:rPr>
        <w:t>COP read-through: Confirms sector-wide cost discipline; COP's $10.2B OpEx guidance and $1B run-rate savings target are credible in this environment.</w:t>
      </w:r>
    </w:p>
    <w:p>
      <w:pPr>
        <w:pStyle w:val="ListBullet"/>
        <w:ind w:left="360" w:hanging="360"/>
      </w:pPr>
      <w:r>
        <w:rPr>
          <w:rFonts w:ascii="Calibri" w:hAnsi="Calibri"/>
          <w:b/>
          <w:color w:val="525866"/>
          <w:sz w:val="22"/>
        </w:rPr>
        <w:t>Middle distillates (jet, diesel) described as the tightest spot in the market; record refining margins.</w:t>
      </w:r>
      <w:r>
        <w:rPr>
          <w:rFonts w:ascii="Calibri" w:hAnsi="Calibri"/>
          <w:color w:val="525866"/>
          <w:sz w:val="22"/>
        </w:rPr>
        <w:t xml:space="preserve"> ~3 million BOED of refinery capacity unavailable due to Middle East conflict; China halted exports; Russian refining capacity impacted. CVX CEO: ‘I’ve never seen available capacity relative to demand as low as it is today.’ Expects robust refining market with high margins to continue. </w:t>
      </w:r>
      <w:r>
        <w:rPr>
          <w:rFonts w:ascii="Calibri" w:hAnsi="Calibri"/>
          <w:b/>
          <w:color w:val="525866"/>
          <w:sz w:val="22"/>
        </w:rPr>
        <w:t>COP read-through: Higher product crack spreads benefit COP’s realized prices on liquids production; also supports higher Brent realizations.</w:t>
      </w:r>
    </w:p>
    <w:p>
      <w:pPr>
        <w:pStyle w:val="Heading3"/>
      </w:pPr>
      <w:r>
        <w:rPr>
          <w:rFonts w:ascii="Calibri" w:hAnsi="Calibri"/>
          <w:b/>
          <w:color w:val="3B4259"/>
          <w:sz w:val="24"/>
        </w:rPr>
        <w:t>ExxonMobil (XOM) — Q2 2026 Earnings Call (July 31, 2026)</w:t>
      </w:r>
    </w:p>
    <w:p>
      <w:pPr>
        <w:pStyle w:val="ListBullet"/>
        <w:ind w:left="360" w:hanging="360"/>
      </w:pPr>
      <w:r>
        <w:rPr>
          <w:rFonts w:ascii="Calibri" w:hAnsi="Calibri"/>
          <w:b/>
          <w:color w:val="525866"/>
          <w:sz w:val="22"/>
        </w:rPr>
        <w:t>Industry-leading earnings of $14.5B; cash flow from operations $23.6B despite ~10% upstream production loss from Middle East conflict.</w:t>
      </w:r>
      <w:r>
        <w:rPr>
          <w:rFonts w:ascii="Calibri" w:hAnsi="Calibri"/>
          <w:color w:val="525866"/>
          <w:sz w:val="22"/>
        </w:rPr>
        <w:t xml:space="preserve"> Excluding Middle East, XOM delivered highest production volumes in more than two decades. Permian set a new record of &gt;1.8 million BOED. </w:t>
      </w:r>
      <w:r>
        <w:rPr>
          <w:rFonts w:ascii="Calibri" w:hAnsi="Calibri"/>
          <w:b/>
          <w:color w:val="525866"/>
          <w:sz w:val="22"/>
        </w:rPr>
        <w:t>COP read-through: Confirms that high oil/LNG prices more than offset volume losses from Middle East disruption — COP’s EPS beat potential is supported by the same dynamic.</w:t>
      </w:r>
    </w:p>
    <w:p>
      <w:pPr>
        <w:pStyle w:val="ListBullet"/>
        <w:ind w:left="360" w:hanging="360"/>
      </w:pPr>
      <w:r>
        <w:rPr>
          <w:rFonts w:ascii="Calibri" w:hAnsi="Calibri"/>
          <w:b/>
          <w:color w:val="525866"/>
          <w:sz w:val="22"/>
        </w:rPr>
        <w:t>XOM in dialogue with QatarEnergy on repair of two damaged LNG trains; believes it can bring expertise to expedite repairs.</w:t>
      </w:r>
      <w:r>
        <w:rPr>
          <w:rFonts w:ascii="Calibri" w:hAnsi="Calibri"/>
          <w:color w:val="525866"/>
          <w:sz w:val="22"/>
        </w:rPr>
        <w:t xml:space="preserve"> XOM not extrapolating current events to a long-term change in regional stability. LNG portfolio diversifying through new projects (Mozambique, Papua New Guinea FIDs planned for 2026; Golden Pass coming online). </w:t>
      </w:r>
      <w:r>
        <w:rPr>
          <w:rFonts w:ascii="Calibri" w:hAnsi="Calibri"/>
          <w:b/>
          <w:color w:val="525866"/>
          <w:sz w:val="22"/>
        </w:rPr>
        <w:t>COP read-through: XOM’s engagement with QatarEnergy on train repairs is relevant context for COP’s NFE/NFS timeline; any acceleration in repair timeline could pull forward COP’s Qatar production return.</w:t>
      </w:r>
    </w:p>
    <w:p>
      <w:pPr>
        <w:pStyle w:val="ListBullet"/>
        <w:ind w:left="360" w:hanging="360"/>
      </w:pPr>
      <w:r>
        <w:rPr>
          <w:rFonts w:ascii="Calibri" w:hAnsi="Calibri"/>
          <w:b/>
          <w:color w:val="525866"/>
          <w:sz w:val="22"/>
        </w:rPr>
        <w:t>Refining system described as ‘the bottleneck in the petroleum system’; margins exceptionally high.</w:t>
      </w:r>
      <w:r>
        <w:rPr>
          <w:rFonts w:ascii="Calibri" w:hAnsi="Calibri"/>
          <w:color w:val="525866"/>
          <w:sz w:val="22"/>
        </w:rPr>
        <w:t xml:space="preserve"> Available refinery capacity relative to demand at unprecedented lows. Record Q2 diesel production. Specialty products achieved record earnings for Q2 and H1 2026. </w:t>
      </w:r>
      <w:r>
        <w:rPr>
          <w:rFonts w:ascii="Calibri" w:hAnsi="Calibri"/>
          <w:b/>
          <w:color w:val="525866"/>
          <w:sz w:val="22"/>
        </w:rPr>
        <w:t>COP read-through: Tight product markets support higher Brent and WTI realizations, directly benefiting COP’s unhedged oil production.</w:t>
      </w:r>
    </w:p>
    <w:p>
      <w:pPr>
        <w:pStyle w:val="ListBullet"/>
        <w:ind w:left="360" w:hanging="360"/>
      </w:pPr>
      <w:r>
        <w:rPr>
          <w:rFonts w:ascii="Calibri" w:hAnsi="Calibri"/>
          <w:b/>
          <w:color w:val="525866"/>
          <w:sz w:val="22"/>
        </w:rPr>
        <w:t>Cumulative structural cost savings increased to $16.3B since 2019; targeting $20B by 2030.</w:t>
      </w:r>
      <w:r>
        <w:rPr>
          <w:rFonts w:ascii="Calibri" w:hAnsi="Calibri"/>
          <w:color w:val="525866"/>
          <w:sz w:val="22"/>
        </w:rPr>
        <w:t xml:space="preserve"> Cash costs holding flat YoY, offsetting inflation. New global operations organization (31,000 employees, 150+ sites) expected to unlock further efficiencies. </w:t>
      </w:r>
      <w:r>
        <w:rPr>
          <w:rFonts w:ascii="Calibri" w:hAnsi="Calibri"/>
          <w:b/>
          <w:color w:val="525866"/>
          <w:sz w:val="22"/>
        </w:rPr>
        <w:t>COP read-through: Sector-wide cost discipline confirms COP’s OpEx reduction program is achievable and not an outlier.</w:t>
      </w:r>
    </w:p>
    <w:p>
      <w:pPr>
        <w:pStyle w:val="ListBullet"/>
        <w:ind w:left="360" w:hanging="360"/>
      </w:pPr>
      <w:r>
        <w:rPr>
          <w:rFonts w:ascii="Calibri" w:hAnsi="Calibri"/>
          <w:b/>
          <w:color w:val="525866"/>
          <w:sz w:val="22"/>
        </w:rPr>
        <w:t>Guyana gross production ~900,000 BOED; capital and cost recovery nearly two years ahead of schedule.</w:t>
      </w:r>
      <w:r>
        <w:rPr>
          <w:rFonts w:ascii="Calibri" w:hAnsi="Calibri"/>
          <w:color w:val="525866"/>
          <w:sz w:val="22"/>
        </w:rPr>
        <w:t xml:space="preserve"> Fifth FPSO (Witu) on track for year-end startup. Longtail moving toward FID; potential ninth FPSO being evaluated. </w:t>
      </w:r>
      <w:r>
        <w:rPr>
          <w:rFonts w:ascii="Calibri" w:hAnsi="Calibri"/>
          <w:b/>
          <w:color w:val="525866"/>
          <w:sz w:val="22"/>
        </w:rPr>
        <w:t>COP read-through: Guyana success demonstrates that large-scale project execution at industry-leading cost is achievable — supportive context for COP’s Willow execution narrative.</w:t>
      </w:r>
    </w:p>
    <w:p>
      <w:pPr>
        <w:pStyle w:val="Heading3"/>
      </w:pPr>
      <w:r>
        <w:rPr>
          <w:rFonts w:ascii="Calibri" w:hAnsi="Calibri"/>
          <w:b/>
          <w:color w:val="3B4259"/>
          <w:sz w:val="24"/>
        </w:rPr>
        <w:t>EOG Resources (EOG) — Q2 2026 Earnings Call (August 5, 2026)</w:t>
      </w:r>
    </w:p>
    <w:p>
      <w:pPr>
        <w:pStyle w:val="ListBullet"/>
        <w:ind w:left="360" w:hanging="360"/>
      </w:pPr>
      <w:r>
        <w:rPr>
          <w:rFonts w:ascii="Calibri" w:hAnsi="Calibri"/>
          <w:b/>
          <w:color w:val="525866"/>
          <w:sz w:val="22"/>
        </w:rPr>
        <w:t>Record Q2 2026 results: adjusted EPS $5.07, adjusted cash flow/share $8.29, FCF $2.8B — all record levels.</w:t>
      </w:r>
      <w:r>
        <w:rPr>
          <w:rFonts w:ascii="Calibri" w:hAnsi="Calibri"/>
          <w:color w:val="525866"/>
          <w:sz w:val="22"/>
        </w:rPr>
        <w:t xml:space="preserve"> Total company volumes above guidance midpoint. Full-year 2026 guidance unchanged: 5% oil growth, 14% total production growth, CapEx $6.5B. 2026 plan generates $8B FCF at strip pricing with WTI break-even below $50/bbl. </w:t>
      </w:r>
      <w:r>
        <w:rPr>
          <w:rFonts w:ascii="Calibri" w:hAnsi="Calibri"/>
          <w:b/>
          <w:color w:val="525866"/>
          <w:sz w:val="22"/>
        </w:rPr>
        <w:t>COP read-through: Record FCF at EOG confirms the high-price environment in Q2 is real and broad-based; COP’s unhedged positioning should generate similarly strong cash flow.</w:t>
      </w:r>
    </w:p>
    <w:p>
      <w:pPr>
        <w:pStyle w:val="ListBullet"/>
        <w:ind w:left="360" w:hanging="360"/>
      </w:pPr>
      <w:r>
        <w:rPr>
          <w:rFonts w:ascii="Calibri" w:hAnsi="Calibri"/>
          <w:b/>
          <w:color w:val="525866"/>
          <w:sz w:val="22"/>
        </w:rPr>
        <w:t>Oil macro: Constructive on fundamentals — supply disruptions from Iran conflict weigh on inventories; reduced demand viewed as temporary rationing, not structural; energy security driving structurally higher oil demand.</w:t>
      </w:r>
      <w:r>
        <w:rPr>
          <w:rFonts w:ascii="Calibri" w:hAnsi="Calibri"/>
          <w:color w:val="525866"/>
          <w:sz w:val="22"/>
        </w:rPr>
        <w:t xml:space="preserve"> EOG: ‘Price volatility likely skewed to the upside.’ Three-year plan reflects low single-digit oil growth at $60–$80 WTI. </w:t>
      </w:r>
      <w:r>
        <w:rPr>
          <w:rFonts w:ascii="Calibri" w:hAnsi="Calibri"/>
          <w:b/>
          <w:color w:val="525866"/>
          <w:sz w:val="22"/>
        </w:rPr>
        <w:t>COP read-through: EOG’s constructive oil macro view directly supports COP’s unhedged oil and LNG exposure thesis and the 45% CFO return commitment.</w:t>
      </w:r>
    </w:p>
    <w:p>
      <w:pPr>
        <w:pStyle w:val="ListBullet"/>
        <w:ind w:left="360" w:hanging="360"/>
      </w:pPr>
      <w:r>
        <w:rPr>
          <w:rFonts w:ascii="Calibri" w:hAnsi="Calibri"/>
          <w:b/>
          <w:color w:val="525866"/>
          <w:sz w:val="22"/>
        </w:rPr>
        <w:t>North American natural gas evolving from seasonal commodity to strategic energy resource; U.S. gas demand forecast to grow 3–5% CAGR through end of decade.</w:t>
      </w:r>
      <w:r>
        <w:rPr>
          <w:rFonts w:ascii="Calibri" w:hAnsi="Calibri"/>
          <w:color w:val="525866"/>
          <w:sz w:val="22"/>
        </w:rPr>
        <w:t xml:space="preserve"> LNG exports, electricity demand, industrial growth, and grid reliability competing for domestic supply. Storage levels expected to show increased volatility vs. 5-year average. EOG: ‘Medium to long-term outlook remains constructive.’ </w:t>
      </w:r>
      <w:r>
        <w:rPr>
          <w:rFonts w:ascii="Calibri" w:hAnsi="Calibri"/>
          <w:b/>
          <w:color w:val="525866"/>
          <w:sz w:val="22"/>
        </w:rPr>
        <w:t>COP read-through: Directly validates COP’s LNG structural tightening thesis and Port Arthur Phase 1 commercial positioning; higher domestic gas prices also benefit COP’s Lower 48 gas production.</w:t>
      </w:r>
    </w:p>
    <w:p>
      <w:pPr>
        <w:pStyle w:val="ListBullet"/>
        <w:ind w:left="360" w:hanging="360"/>
      </w:pPr>
      <w:r>
        <w:rPr>
          <w:rFonts w:ascii="Calibri" w:hAnsi="Calibri"/>
          <w:b/>
          <w:color w:val="525866"/>
          <w:sz w:val="22"/>
        </w:rPr>
        <w:t>Delaware Basin: Drilling feet/day up 13% YoY; completed lateral feet/day up 5%; direct well costs reduced $15/foot to &lt;$710/foot.</w:t>
      </w:r>
      <w:r>
        <w:rPr>
          <w:rFonts w:ascii="Calibri" w:hAnsi="Calibri"/>
          <w:color w:val="525866"/>
          <w:sz w:val="22"/>
        </w:rPr>
        <w:t xml:space="preserve"> Janus gas processing plant at &gt;99% utilization, providing $0.65/MCF netback uplift. Eagle Ford direct well costs at record low &lt;$525/foot. Dorado well costs 7% lower YoY. </w:t>
      </w:r>
      <w:r>
        <w:rPr>
          <w:rFonts w:ascii="Calibri" w:hAnsi="Calibri"/>
          <w:b/>
          <w:color w:val="525866"/>
          <w:sz w:val="22"/>
        </w:rPr>
        <w:t>COP read-through: Confirms continued Permian/Lower 48 cost deflation environment; COP’s Delaware Basin activity (part of the incremental H2 2026 CapEx) should benefit from the same efficiency gains.</w:t>
      </w:r>
    </w:p>
    <w:p>
      <w:pPr>
        <w:pStyle w:val="ListBullet"/>
        <w:ind w:left="360" w:hanging="360"/>
      </w:pPr>
      <w:r>
        <w:rPr>
          <w:rFonts w:ascii="Calibri" w:hAnsi="Calibri"/>
          <w:b/>
          <w:color w:val="525866"/>
          <w:sz w:val="22"/>
        </w:rPr>
        <w:t>UAE exploration wells: Two 1-mile lateral wells produced &gt;25,000 barrels/well in first 30 days; early results exceeding expectations.</w:t>
      </w:r>
      <w:r>
        <w:rPr>
          <w:rFonts w:ascii="Calibri" w:hAnsi="Calibri"/>
          <w:color w:val="525866"/>
          <w:sz w:val="22"/>
        </w:rPr>
        <w:t xml:space="preserve"> EOG is a first mover in international unconventionals, partnering with ADNOC and Bapco. Middle East conflict served as a stress test of partner relationships — EOG noted clear, transparent communication and strategic alignment. </w:t>
      </w:r>
      <w:r>
        <w:rPr>
          <w:rFonts w:ascii="Calibri" w:hAnsi="Calibri"/>
          <w:b/>
          <w:color w:val="525866"/>
          <w:sz w:val="22"/>
        </w:rPr>
        <w:t>COP read-through: International unconventional success and strong NOC relationships are relevant context for COP’s own international portfolio management during the conflict.</w:t>
      </w:r>
    </w:p>
    <w:p>
      <w:pPr>
        <w:pStyle w:val="Heading3"/>
      </w:pPr>
      <w:r>
        <w:rPr>
          <w:rFonts w:ascii="Calibri" w:hAnsi="Calibri"/>
          <w:b/>
          <w:color w:val="3B4259"/>
          <w:sz w:val="24"/>
        </w:rPr>
        <w:t>Devon Energy (DVN) — Q2 2026 Earnings Call (August 5, 2026)</w:t>
      </w:r>
    </w:p>
    <w:p>
      <w:pPr>
        <w:pStyle w:val="ListBullet"/>
        <w:ind w:left="360" w:hanging="360"/>
      </w:pPr>
      <w:r>
        <w:rPr>
          <w:rFonts w:ascii="Calibri" w:hAnsi="Calibri"/>
          <w:b/>
          <w:color w:val="525866"/>
          <w:sz w:val="22"/>
        </w:rPr>
        <w:t>Outperformed Q2 guidance across all key value drivers: oil production 503 MBOPD (+1.6% above midpoint); total production 1.36 million BOED (top of guidance); CapEx $1.3B (-2.4% favorable); OpEx $8.23/boe (-2% better).</w:t>
      </w:r>
      <w:r>
        <w:rPr>
          <w:rFonts w:ascii="Calibri" w:hAnsi="Calibri"/>
          <w:color w:val="525866"/>
          <w:sz w:val="22"/>
        </w:rPr>
        <w:t xml:space="preserve"> Adjusted FCF $1.7B. Reinvestment rate improved to 43% of cash flow (vs. mid-50s in prior two years). </w:t>
      </w:r>
      <w:r>
        <w:rPr>
          <w:rFonts w:ascii="Calibri" w:hAnsi="Calibri"/>
          <w:b/>
          <w:color w:val="525866"/>
          <w:sz w:val="22"/>
        </w:rPr>
        <w:t>COP read-through: Broad-based outperformance across E&amp;P peers in Q2 confirms the operating environment was favorable; COP’s own guidance beat tendency (7 of 8 quarters on production) is consistent with this sector pattern.</w:t>
      </w:r>
    </w:p>
    <w:p>
      <w:pPr>
        <w:pStyle w:val="ListBullet"/>
        <w:ind w:left="360" w:hanging="360"/>
      </w:pPr>
      <w:r>
        <w:rPr>
          <w:rFonts w:ascii="Calibri" w:hAnsi="Calibri"/>
          <w:b/>
          <w:color w:val="525866"/>
          <w:sz w:val="22"/>
        </w:rPr>
        <w:t>Full-year 2026 guidance tightened: oil 495–505 MBOPD; total volumes ~1.4 million BOED; CapEx $4.8–$5.0B.</w:t>
      </w:r>
      <w:r>
        <w:rPr>
          <w:rFonts w:ascii="Calibri" w:hAnsi="Calibri"/>
          <w:color w:val="525866"/>
          <w:sz w:val="22"/>
        </w:rPr>
        <w:t xml:space="preserve"> Q3 2026 oil volumes guided 550–560 MBOPD (meaningful step-up); Q4 expected at similar or higher levels. </w:t>
      </w:r>
      <w:r>
        <w:rPr>
          <w:rFonts w:ascii="Calibri" w:hAnsi="Calibri"/>
          <w:b/>
          <w:color w:val="525866"/>
          <w:sz w:val="22"/>
        </w:rPr>
        <w:t>COP read-through: DVN’s confidence in raising full-year guidance reflects a constructive macro view; COP may similarly provide constructive FY 2026 commentary if Qatar volumes show any recovery.</w:t>
      </w:r>
    </w:p>
    <w:p>
      <w:pPr>
        <w:pStyle w:val="ListBullet"/>
        <w:ind w:left="360" w:hanging="360"/>
      </w:pPr>
      <w:r>
        <w:rPr>
          <w:rFonts w:ascii="Calibri" w:hAnsi="Calibri"/>
          <w:b/>
          <w:color w:val="525866"/>
          <w:sz w:val="22"/>
        </w:rPr>
        <w:t>Delaware well cost at ~$800/foot; synergy targets on track for $1B+ by year-end 2027; AI-enabled system autonomously optimizing 1,000 wells in real-time.</w:t>
      </w:r>
      <w:r>
        <w:rPr>
          <w:rFonts w:ascii="Calibri" w:hAnsi="Calibri"/>
          <w:color w:val="525866"/>
          <w:sz w:val="22"/>
        </w:rPr>
        <w:t xml:space="preserve"> Surfactant completion tests showing &gt;15% production uplift at 180 days across 90% of trial wells. </w:t>
      </w:r>
      <w:r>
        <w:rPr>
          <w:rFonts w:ascii="Calibri" w:hAnsi="Calibri"/>
          <w:b/>
          <w:color w:val="525866"/>
          <w:sz w:val="22"/>
        </w:rPr>
        <w:t>COP read-through: Permian cost efficiency and technology-driven production optimization are sector-wide trends that support COP’s Lower 48 cost reduction narrative.</w:t>
      </w:r>
    </w:p>
    <w:p>
      <w:pPr>
        <w:pStyle w:val="ListBullet"/>
        <w:ind w:left="360" w:hanging="360"/>
      </w:pPr>
      <w:r>
        <w:rPr>
          <w:rFonts w:ascii="Calibri" w:hAnsi="Calibri"/>
          <w:b/>
          <w:color w:val="525866"/>
          <w:sz w:val="22"/>
        </w:rPr>
        <w:t>Waha natural gas prices ‘tough quarter’ in Q2; Kinder Morgan expansion providing relief; &gt;70% of production hedged or transported to coast.</w:t>
      </w:r>
      <w:r>
        <w:rPr>
          <w:rFonts w:ascii="Calibri" w:hAnsi="Calibri"/>
          <w:color w:val="525866"/>
          <w:sz w:val="22"/>
        </w:rPr>
        <w:t xml:space="preserve"> Additional egress (Blackcomb) expected H2 2026 and H1 2027. CPV power project (115 MMcf/day, priced vs. Ercot West) coming online 2028. </w:t>
      </w:r>
      <w:r>
        <w:rPr>
          <w:rFonts w:ascii="Calibri" w:hAnsi="Calibri"/>
          <w:b/>
          <w:color w:val="525866"/>
          <w:sz w:val="22"/>
        </w:rPr>
        <w:t>COP read-through: Waha weakness in Q2 is a modest headwind for COP’s Lower 48 gas production, but COP’s diversified portfolio (international LNG, Surmont, Alaska) limits the impact.</w:t>
      </w:r>
    </w:p>
    <w:p>
      <w:pPr>
        <w:pStyle w:val="ListBullet"/>
        <w:ind w:left="360" w:hanging="360"/>
      </w:pPr>
      <w:r>
        <w:rPr>
          <w:rFonts w:ascii="Calibri" w:hAnsi="Calibri"/>
          <w:b/>
          <w:color w:val="525866"/>
          <w:sz w:val="22"/>
        </w:rPr>
        <w:t>Debt reduction target met; targeting ~$9B total debt by year-end 2027 (leverage at or below 1x through cycle).</w:t>
      </w:r>
      <w:r>
        <w:rPr>
          <w:rFonts w:ascii="Calibri" w:hAnsi="Calibri"/>
          <w:color w:val="525866"/>
          <w:sz w:val="22"/>
        </w:rPr>
        <w:t xml:space="preserve"> Asset market described as ‘hot’ and a ‘seller’s market’; comprehensive portfolio review underway. </w:t>
      </w:r>
      <w:r>
        <w:rPr>
          <w:rFonts w:ascii="Calibri" w:hAnsi="Calibri"/>
          <w:b/>
          <w:color w:val="525866"/>
          <w:sz w:val="22"/>
        </w:rPr>
        <w:t>COP read-through: Strong asset market supports COP’s ongoing $5B divestiture program (~$2B remaining); a hot seller’s market increases the probability of completing divestitures at full value.</w:t>
      </w:r>
    </w:p>
    <w:p>
      <w:pPr>
        <w:pStyle w:val="Heading3"/>
      </w:pPr>
      <w:r>
        <w:rPr>
          <w:rFonts w:ascii="Calibri" w:hAnsi="Calibri"/>
          <w:b/>
          <w:color w:val="3B4259"/>
          <w:sz w:val="24"/>
        </w:rPr>
        <w:t>Diamondback Energy (FANG) — Q2 2026 Earnings Call (August 4, 2026)</w:t>
      </w:r>
    </w:p>
    <w:p>
      <w:pPr>
        <w:pStyle w:val="ListBullet"/>
        <w:ind w:left="360" w:hanging="360"/>
      </w:pPr>
      <w:r>
        <w:rPr>
          <w:rFonts w:ascii="Calibri" w:hAnsi="Calibri"/>
          <w:b/>
          <w:color w:val="525866"/>
          <w:sz w:val="22"/>
        </w:rPr>
        <w:t>Production up ~4% from start of year; responded to price signals in March by increasing production 3–4% vs. original plan.</w:t>
      </w:r>
      <w:r>
        <w:rPr>
          <w:rFonts w:ascii="Calibri" w:hAnsi="Calibri"/>
          <w:color w:val="525866"/>
          <w:sz w:val="22"/>
        </w:rPr>
        <w:t xml:space="preserve"> Natural gas production ‘really outperforming’ expectations; Barnett becoming a larger portion of development plan. Wolf Camp D hitting stretch goal of $300/foot drilling cost. </w:t>
      </w:r>
      <w:r>
        <w:rPr>
          <w:rFonts w:ascii="Calibri" w:hAnsi="Calibri"/>
          <w:b/>
          <w:color w:val="525866"/>
          <w:sz w:val="22"/>
        </w:rPr>
        <w:t>COP read-through: Permian production outperformance is sector-wide; COP’s Lower 48 organic growth narrative is supported by the same operating environment.</w:t>
      </w:r>
    </w:p>
    <w:p>
      <w:pPr>
        <w:pStyle w:val="ListBullet"/>
        <w:ind w:left="360" w:hanging="360"/>
      </w:pPr>
      <w:r>
        <w:rPr>
          <w:rFonts w:ascii="Calibri" w:hAnsi="Calibri"/>
          <w:b/>
          <w:color w:val="525866"/>
          <w:sz w:val="22"/>
        </w:rPr>
        <w:t>Oil macro: ‘Worldwide inventory levels will remain low for the foreseeable future.’ Inventories draining on both oil and product side. Mid-cycle NAV uses ~$65 WTI conservatively.</w:t>
      </w:r>
      <w:r>
        <w:rPr>
          <w:rFonts w:ascii="Calibri" w:hAnsi="Calibri"/>
          <w:color w:val="525866"/>
          <w:sz w:val="22"/>
        </w:rPr>
        <w:t xml:space="preserve"> FANG: ‘Betting on the need to refill inventories’ including SPR. Absent permanent demand destruction, inventories must be refilled, providing a longer-term bid for oil. </w:t>
      </w:r>
      <w:r>
        <w:rPr>
          <w:rFonts w:ascii="Calibri" w:hAnsi="Calibri"/>
          <w:b/>
          <w:color w:val="525866"/>
          <w:sz w:val="22"/>
        </w:rPr>
        <w:t>COP read-through: Inventory-driven oil price support thesis is consistent with COP management’s own view (mid-cycle WTI floor moving above $65); supports COP’s unhedged positioning.</w:t>
      </w:r>
    </w:p>
    <w:p>
      <w:pPr>
        <w:pStyle w:val="ListBullet"/>
        <w:ind w:left="360" w:hanging="360"/>
      </w:pPr>
      <w:r>
        <w:rPr>
          <w:rFonts w:ascii="Calibri" w:hAnsi="Calibri"/>
          <w:b/>
          <w:color w:val="525866"/>
          <w:sz w:val="22"/>
        </w:rPr>
        <w:t>Waha prices ‘positive for the whole month of July’ — a ‘nice tailwind’ as new pipelines from Energy Transfer and Whitewater begin flowing.</w:t>
      </w:r>
      <w:r>
        <w:rPr>
          <w:rFonts w:ascii="Calibri" w:hAnsi="Calibri"/>
          <w:color w:val="525866"/>
          <w:sz w:val="22"/>
        </w:rPr>
        <w:t xml:space="preserve"> FANG believes in the ‘gas mega theme’ and is pursuing a wellhead-to-water gas strategy; Bryant Ranch data center project targeting first gas H2 2027, grid-connected power 2028. </w:t>
      </w:r>
      <w:r>
        <w:rPr>
          <w:rFonts w:ascii="Calibri" w:hAnsi="Calibri"/>
          <w:b/>
          <w:color w:val="525866"/>
          <w:sz w:val="22"/>
        </w:rPr>
        <w:t>COP read-through: Waha recovery in July (post-Q2) is a positive signal for COP’s Q3 2026 Lower 48 gas realizations; LNG/power demand growth supports COP’s long-term gas strategy.</w:t>
      </w:r>
    </w:p>
    <w:p>
      <w:pPr>
        <w:pStyle w:val="ListBullet"/>
        <w:ind w:left="360" w:hanging="360"/>
      </w:pPr>
      <w:r>
        <w:rPr>
          <w:rFonts w:ascii="Calibri" w:hAnsi="Calibri"/>
          <w:b/>
          <w:color w:val="525866"/>
          <w:sz w:val="22"/>
        </w:rPr>
        <w:t>LOE fell below $6/barrel in Q2; team ‘fighting off cost pressures’ from power and water; electric frac fleets mitigating fuel cost inflation.</w:t>
      </w:r>
      <w:r>
        <w:rPr>
          <w:rFonts w:ascii="Calibri" w:hAnsi="Calibri"/>
          <w:color w:val="525866"/>
          <w:sz w:val="22"/>
        </w:rPr>
        <w:t xml:space="preserve"> Casing price inflation of ~1% of total well cost expected in H2 2026; rig count up 60 from bottom with forecasts of 80 additional rigs. </w:t>
      </w:r>
      <w:r>
        <w:rPr>
          <w:rFonts w:ascii="Calibri" w:hAnsi="Calibri"/>
          <w:b/>
          <w:color w:val="525866"/>
          <w:sz w:val="22"/>
        </w:rPr>
        <w:t>COP read-through: Modest cost inflation signals (casing, power, water) are manageable and consistent with COP’s flat OpEx guidance; rising rig count could tighten service costs modestly in H2.</w:t>
      </w:r>
    </w:p>
    <w:p>
      <w:pPr>
        <w:pStyle w:val="ListBullet"/>
        <w:ind w:left="360" w:hanging="360"/>
      </w:pPr>
      <w:r>
        <w:rPr>
          <w:rFonts w:ascii="Calibri" w:hAnsi="Calibri"/>
          <w:b/>
          <w:color w:val="525866"/>
          <w:sz w:val="22"/>
        </w:rPr>
        <w:t>Enhanced Oil Recovery (EOR) described as a ‘mega theme’; 12-well surfactant project showing ‘very positive’ initial results.</w:t>
      </w:r>
      <w:r>
        <w:rPr>
          <w:rFonts w:ascii="Calibri" w:hAnsi="Calibri"/>
          <w:color w:val="525866"/>
          <w:sz w:val="22"/>
        </w:rPr>
        <w:t xml:space="preserve"> AI and automation being deployed for artificial lift optimization; water management getting ‘a lot more attention’ in the basin. </w:t>
      </w:r>
      <w:r>
        <w:rPr>
          <w:rFonts w:ascii="Calibri" w:hAnsi="Calibri"/>
          <w:b/>
          <w:color w:val="525866"/>
          <w:sz w:val="22"/>
        </w:rPr>
        <w:t>COP read-through: Technology-driven recovery improvement is a sector-wide trend that supports COP’s long-term Permian inventory depth and capital efficiency narrative.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filed since Q1 2026 earnings — a modest open-market sale by Director Sharmila Mulligan on June 10, 2026 (~$237K, non-10b5-1) — which is not a meaningful directional signal; the absence of executive-level buying or selling is notable but not alarming given the stock’s underperformance.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Sharmila Mulligan</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1,974</w:t>
            </w:r>
          </w:p>
        </w:tc>
        <w:tc>
          <w:tcPr>
            <w:tcW w:type="dxa" w:w="1234"/>
          </w:tcPr>
          <w:p>
            <w:r>
              <w:rPr>
                <w:rFonts w:ascii="Calibri" w:hAnsi="Calibri"/>
                <w:sz w:val="22"/>
              </w:rPr>
              <w:t>~$237K</w:t>
            </w:r>
          </w:p>
        </w:tc>
        <w:tc>
          <w:tcPr>
            <w:tcW w:type="dxa" w:w="1234"/>
          </w:tcPr>
          <w:p>
            <w:r>
              <w:rPr>
                <w:rFonts w:ascii="Calibri" w:hAnsi="Calibri"/>
                <w:sz w:val="22"/>
              </w:rPr>
              <w:t>June 10, 2026</w:t>
            </w:r>
          </w:p>
        </w:tc>
        <w:tc>
          <w:tcPr>
            <w:tcW w:type="dxa" w:w="1234"/>
          </w:tcPr>
          <w:p>
            <w:r>
              <w:rPr>
                <w:rFonts w:ascii="Calibri" w:hAnsi="Calibri"/>
                <w:sz w:val="22"/>
              </w:rPr>
              <w:t>Discretionary sale; non-10b5-1; stock at ~$119.92 on transaction date; modest size relative to director holdings</w:t>
            </w:r>
          </w:p>
        </w:tc>
      </w:tr>
    </w:tbl>
    <w:p>
      <w:r>
        <w:rPr>
          <w:rFonts w:ascii="Calibri" w:hAnsi="Calibri"/>
          <w:color w:val="525866"/>
          <w:sz w:val="22"/>
        </w:rPr>
        <w:t>No open-market purchases or additional sales were filed by COP insiders between April 30, 2026 and August 5, 2026. The absence of executive-level buying despite a ~16% decline from the 52-week high is not unusual for large-cap E&amp;P companies where executives typically rely on structured compensation programs rather than discretionary purchases. The single director sale is small in dollar terms and does not constitute a meaningful bearish signal.</w:t>
      </w:r>
    </w:p>
    <w:p>
      <w:r>
        <w:rPr>
          <w:rFonts w:ascii="Calibri" w:hAnsi="Calibri"/>
          <w:i/>
          <w:color w:val="525866"/>
          <w:sz w:val="22"/>
        </w:rPr>
        <w:t>Source: SEC Form 4 filings database. Window: April 30, 2026 – August 5,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