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ConocoPhillips (COP)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ConocoPhillips</w:t>
            </w:r>
          </w:p>
        </w:tc>
      </w:tr>
      <w:tr>
        <w:tc>
          <w:tcPr>
            <w:tcW w:type="dxa" w:w="4320"/>
          </w:tcPr>
          <w:p>
            <w:r>
              <w:rPr>
                <w:rFonts w:ascii="Calibri" w:hAnsi="Calibri"/>
                <w:b/>
                <w:sz w:val="22"/>
              </w:rPr>
              <w:t>Ticker</w:t>
            </w:r>
          </w:p>
        </w:tc>
        <w:tc>
          <w:tcPr>
            <w:tcW w:type="dxa" w:w="4320"/>
          </w:tcPr>
          <w:p>
            <w:r>
              <w:rPr>
                <w:rFonts w:ascii="Calibri" w:hAnsi="Calibri"/>
                <w:sz w:val="22"/>
              </w:rPr>
              <w:t>COP US</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12:00 PM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XLE (Energy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 a beat on EPS driven by unhedged oil and LNG torque in a high-price environment, but production will print below prior-year levels due to Qatar exclusion — the single biggest swing factor is whether management reinstates Qatar in H2 guidance and how it frames the LNG structural tightening thesis.</w:t>
      </w:r>
    </w:p>
    <w:p>
      <w:r>
        <w:rPr>
          <w:rFonts w:ascii="Calibri" w:hAnsi="Calibri"/>
          <w:color w:val="525866"/>
          <w:sz w:val="22"/>
        </w:rPr>
        <w:t xml:space="preserve">Heading into Q2 2026, the bar for ConocoPhillips is set against a backdrop of extraordinary macro tailwinds: Brent crude averaged roughly $89–97/bbl during the quarter as the U.S.-Iran conflict shut the Strait of Hormuz and removed ~10 million bpd of global supply, directly inflating COP’s unhedged oil and LNG realizations and driving consensus EPS to ~$2.95 — a figure that has been revised sharply higher since the Q1 print. </w:t>
      </w:r>
      <w:r>
        <w:rPr>
          <w:rFonts w:ascii="Calibri" w:hAnsi="Calibri"/>
          <w:b/>
          <w:color w:val="525866"/>
          <w:sz w:val="22"/>
        </w:rPr>
        <w:t>Management’s posture on the Q1 call was confident and constructive</w:t>
      </w:r>
      <w:r>
        <w:rPr>
          <w:rFonts w:ascii="Calibri" w:hAnsi="Calibri"/>
          <w:color w:val="525866"/>
          <w:sz w:val="22"/>
        </w:rPr>
        <w:t xml:space="preserve">: they reiterated the 45% CFO return commitment, raised CapEx guidance modestly to $12–12.5B for incremental Permian activity, and explicitly stated that shareholders “directly share in this upside” via the unhedged book — a tone that has only been reinforced by peer prints from XOM, CVX, and FANG showing broad-based beats. Estimate revisions have moved sharply higher since the Q1 print (Q2 consensus EPS up from ~$1.72 post-Q1 to ~$2.95 today), tracking the oil price surge, but the production line is the key offset: Q2 guidance midpoint of 2,200 MBOED excludes Qatar entirely (~80 MBOED run-rate), meaning the reported volume will look weak on a YoY basis even as cash generation surges. </w:t>
      </w:r>
    </w:p>
    <w:p>
      <w:r>
        <w:rPr>
          <w:rFonts w:ascii="Calibri" w:hAnsi="Calibri"/>
          <w:b/>
          <w:color w:val="525866"/>
          <w:sz w:val="22"/>
        </w:rPr>
        <w:t>The stock has underperformed XLE since the Q1 print</w:t>
      </w:r>
      <w:r>
        <w:rPr>
          <w:rFonts w:ascii="Calibri" w:hAnsi="Calibri"/>
          <w:color w:val="525866"/>
          <w:sz w:val="22"/>
        </w:rPr>
        <w:t xml:space="preserve"> (COP -8.5% vs. XLE -3.9% since April 30), suggesting the market has not fully priced in the EPS upside and may be discounting the Qatar production overhang and Willow cost uncertainty — creating an asymmetric setup where a clean beat with constructive Qatar/LNG commentary could re-rate the stock. The primary wildcard is </w:t>
      </w:r>
      <w:r>
        <w:rPr>
          <w:rFonts w:ascii="Calibri" w:hAnsi="Calibri"/>
          <w:b/>
          <w:color w:val="525866"/>
          <w:sz w:val="22"/>
        </w:rPr>
        <w:t>Qatar reinstatement</w:t>
      </w:r>
      <w:r>
        <w:rPr>
          <w:rFonts w:ascii="Calibri" w:hAnsi="Calibri"/>
          <w:color w:val="525866"/>
          <w:sz w:val="22"/>
        </w:rPr>
        <w:t>: any signal that production resumes in H2 2026 would add ~80 MBOED to the run-rate and meaningfully lift full-year FCF estimates, while a prolonged shutdown extends the volume drag but paradoxically supports LNG prices that benefit Port Arthur and EG LNG.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EPS of ~$2.95 is a high bar in absolute terms but is well-supported by the oil price environment; production (~2,201 MBOED consensus) is the bigger swing factor given Qatar exclusion, and any upside surprise there would be the most meaningful catalyst.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(Diluted Operating) ($)</w:t>
            </w:r>
          </w:p>
        </w:tc>
        <w:tc>
          <w:tcPr>
            <w:tcW w:type="dxa" w:w="1234"/>
          </w:tcPr>
          <w:p>
            <w:r>
              <w:rPr>
                <w:rFonts w:ascii="Calibri" w:hAnsi="Calibri"/>
                <w:sz w:val="22"/>
              </w:rPr>
              <w:t>$1.90</w:t>
            </w:r>
          </w:p>
        </w:tc>
        <w:tc>
          <w:tcPr>
            <w:tcW w:type="dxa" w:w="1234"/>
          </w:tcPr>
          <w:p>
            <w:r>
              <w:rPr>
                <w:rFonts w:ascii="Calibri" w:hAnsi="Calibri"/>
                <w:sz w:val="22"/>
              </w:rPr>
              <w:t>$1.42</w:t>
            </w:r>
          </w:p>
        </w:tc>
        <w:tc>
          <w:tcPr>
            <w:tcW w:type="dxa" w:w="1234"/>
          </w:tcPr>
          <w:p>
            <w:r>
              <w:rPr>
                <w:rFonts w:ascii="Calibri" w:hAnsi="Calibri"/>
                <w:sz w:val="22"/>
              </w:rPr>
              <w:t>$2.95</w:t>
            </w:r>
          </w:p>
        </w:tc>
        <w:tc>
          <w:tcPr>
            <w:tcW w:type="dxa" w:w="1234"/>
          </w:tcPr>
          <w:p>
            <w:r>
              <w:rPr>
                <w:rFonts w:ascii="Calibri" w:hAnsi="Calibri"/>
                <w:b/>
                <w:color w:val="30A46C"/>
                <w:sz w:val="22"/>
              </w:rPr>
              <w:t>+107% YoY</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Total Production (MBOED)</w:t>
            </w:r>
          </w:p>
        </w:tc>
        <w:tc>
          <w:tcPr>
            <w:tcW w:type="dxa" w:w="1234"/>
          </w:tcPr>
          <w:p>
            <w:r>
              <w:rPr>
                <w:rFonts w:ascii="Calibri" w:hAnsi="Calibri"/>
                <w:sz w:val="22"/>
              </w:rPr>
              <w:t>2,307</w:t>
            </w:r>
          </w:p>
        </w:tc>
        <w:tc>
          <w:tcPr>
            <w:tcW w:type="dxa" w:w="1234"/>
          </w:tcPr>
          <w:p>
            <w:r>
              <w:rPr>
                <w:rFonts w:ascii="Calibri" w:hAnsi="Calibri"/>
                <w:sz w:val="22"/>
              </w:rPr>
              <w:t>2,391</w:t>
            </w:r>
          </w:p>
        </w:tc>
        <w:tc>
          <w:tcPr>
            <w:tcW w:type="dxa" w:w="1234"/>
          </w:tcPr>
          <w:p>
            <w:r>
              <w:rPr>
                <w:rFonts w:ascii="Calibri" w:hAnsi="Calibri"/>
                <w:sz w:val="22"/>
              </w:rPr>
              <w:t>2,209</w:t>
            </w:r>
          </w:p>
        </w:tc>
        <w:tc>
          <w:tcPr>
            <w:tcW w:type="dxa" w:w="1234"/>
          </w:tcPr>
          <w:p>
            <w:r>
              <w:rPr>
                <w:rFonts w:ascii="Calibri" w:hAnsi="Calibri"/>
                <w:b/>
                <w:color w:val="E5484D"/>
                <w:sz w:val="22"/>
              </w:rPr>
              <w:t>-7.6% YoY</w:t>
            </w:r>
          </w:p>
        </w:tc>
        <w:tc>
          <w:tcPr>
            <w:tcW w:type="dxa" w:w="1234"/>
          </w:tcPr>
          <w:p>
            <w:r>
              <w:rPr>
                <w:rFonts w:ascii="Calibri" w:hAnsi="Calibri"/>
                <w:sz w:val="22"/>
              </w:rPr>
              <w:t>2,185–2,215 MBOED (excl. Qatar)</w:t>
            </w:r>
          </w:p>
        </w:tc>
        <w:tc>
          <w:tcPr>
            <w:tcW w:type="dxa" w:w="1234"/>
          </w:tcPr>
          <w:p>
            <w:r>
              <w:rPr>
                <w:rFonts w:ascii="Calibri" w:hAnsi="Calibri"/>
                <w:sz w:val="22"/>
              </w:rPr>
              <w:t>~0% vs. midpoint (2,200)</w:t>
            </w:r>
          </w:p>
        </w:tc>
      </w:tr>
      <w:tr>
        <w:tc>
          <w:tcPr>
            <w:tcW w:type="dxa" w:w="1234"/>
          </w:tcPr>
          <w:p>
            <w:r>
              <w:rPr>
                <w:rFonts w:ascii="Calibri" w:hAnsi="Calibri"/>
                <w:sz w:val="22"/>
              </w:rPr>
              <w:t>Total CapEx ($B)</w:t>
            </w:r>
          </w:p>
        </w:tc>
        <w:tc>
          <w:tcPr>
            <w:tcW w:type="dxa" w:w="1234"/>
          </w:tcPr>
          <w:p>
            <w:r>
              <w:rPr>
                <w:rFonts w:ascii="Calibri" w:hAnsi="Calibri"/>
                <w:sz w:val="22"/>
              </w:rPr>
              <w:t>$2.95B</w:t>
            </w:r>
          </w:p>
        </w:tc>
        <w:tc>
          <w:tcPr>
            <w:tcW w:type="dxa" w:w="1234"/>
          </w:tcPr>
          <w:p>
            <w:r>
              <w:rPr>
                <w:rFonts w:ascii="Calibri" w:hAnsi="Calibri"/>
                <w:sz w:val="22"/>
              </w:rPr>
              <w:t>$3.29B</w:t>
            </w:r>
          </w:p>
        </w:tc>
        <w:tc>
          <w:tcPr>
            <w:tcW w:type="dxa" w:w="1234"/>
          </w:tcPr>
          <w:p>
            <w:r>
              <w:rPr>
                <w:rFonts w:ascii="Calibri" w:hAnsi="Calibri"/>
                <w:sz w:val="22"/>
              </w:rPr>
              <w:t>$3.12B</w:t>
            </w:r>
          </w:p>
        </w:tc>
        <w:tc>
          <w:tcPr>
            <w:tcW w:type="dxa" w:w="1234"/>
          </w:tcPr>
          <w:p>
            <w:r>
              <w:rPr>
                <w:rFonts w:ascii="Calibri" w:hAnsi="Calibri"/>
                <w:sz w:val="22"/>
              </w:rPr>
              <w:t>-5.2% YoY</w:t>
            </w:r>
          </w:p>
        </w:tc>
        <w:tc>
          <w:tcPr>
            <w:tcW w:type="dxa" w:w="1234"/>
          </w:tcPr>
          <w:p>
            <w:r>
              <w:rPr>
                <w:rFonts w:ascii="Calibri" w:hAnsi="Calibri"/>
                <w:sz w:val="22"/>
              </w:rPr>
              <w:t>$12.0–12.5B FY (midpoint $12.25B)</w:t>
            </w:r>
          </w:p>
        </w:tc>
        <w:tc>
          <w:tcPr>
            <w:tcW w:type="dxa" w:w="1234"/>
          </w:tcPr>
          <w:p>
            <w:r>
              <w:rPr>
                <w:rFonts w:ascii="Calibri" w:hAnsi="Calibri"/>
                <w:sz w:val="22"/>
              </w:rPr>
              <w:t>~$3.1B implied Q2 run-rate; ~in line</w:t>
            </w:r>
          </w:p>
        </w:tc>
      </w:tr>
      <w:tr>
        <w:tc>
          <w:tcPr>
            <w:tcW w:type="dxa" w:w="1234"/>
          </w:tcPr>
          <w:p>
            <w:r>
              <w:rPr>
                <w:rFonts w:ascii="Calibri" w:hAnsi="Calibri"/>
                <w:sz w:val="22"/>
              </w:rPr>
              <w:t>Free Cash Flow ($B)</w:t>
            </w:r>
          </w:p>
        </w:tc>
        <w:tc>
          <w:tcPr>
            <w:tcW w:type="dxa" w:w="1234"/>
          </w:tcPr>
          <w:p>
            <w:r>
              <w:rPr>
                <w:rFonts w:ascii="Calibri" w:hAnsi="Calibri"/>
                <w:sz w:val="22"/>
              </w:rPr>
              <w:t>$2.44B</w:t>
            </w:r>
          </w:p>
        </w:tc>
        <w:tc>
          <w:tcPr>
            <w:tcW w:type="dxa" w:w="1234"/>
          </w:tcPr>
          <w:p>
            <w:r>
              <w:rPr>
                <w:rFonts w:ascii="Calibri" w:hAnsi="Calibri"/>
                <w:sz w:val="22"/>
              </w:rPr>
              <w:t>$1.44B</w:t>
            </w:r>
          </w:p>
        </w:tc>
        <w:tc>
          <w:tcPr>
            <w:tcW w:type="dxa" w:w="1234"/>
          </w:tcPr>
          <w:p>
            <w:r>
              <w:rPr>
                <w:rFonts w:ascii="Calibri" w:hAnsi="Calibri"/>
                <w:sz w:val="22"/>
              </w:rPr>
              <w:t>$3.62B</w:t>
            </w:r>
          </w:p>
        </w:tc>
        <w:tc>
          <w:tcPr>
            <w:tcW w:type="dxa" w:w="1234"/>
          </w:tcPr>
          <w:p>
            <w:r>
              <w:rPr>
                <w:rFonts w:ascii="Calibri" w:hAnsi="Calibri"/>
                <w:b/>
                <w:color w:val="30A46C"/>
                <w:sz w:val="22"/>
              </w:rPr>
              <w:t>+152% YoY</w:t>
            </w:r>
          </w:p>
        </w:tc>
        <w:tc>
          <w:tcPr>
            <w:tcW w:type="dxa" w:w="1234"/>
          </w:tcPr>
          <w:p>
            <w:r>
              <w:rPr>
                <w:rFonts w:ascii="Calibri" w:hAnsi="Calibri"/>
                <w:sz w:val="22"/>
              </w:rPr>
              <w:t>No explicit FCF guidance</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i/>
          <w:color w:val="525866"/>
          <w:sz w:val="22"/>
        </w:rPr>
        <w:t>Visible Alpha Consensus and Actuals Data (EPS — Diluted Operating, Total Oil Equivalent Production per Day — Total, Total Capital Expenditures, Free Cash Flow); Q1 2026 Earnings Release and Transcript (guidance). Q2 2026 consensus as of August 5, 2026. Q1 2026 actuals and Q2 2025 actuals from Visible Alpha. Production guidance midpoint of 2,200 MBOED excludes Qatar per company disclosure on April 30, 2026 earnings call.</w:t>
      </w:r>
    </w:p>
    <w:p>
      <w:pPr>
        <w:pStyle w:val="Heading3"/>
      </w:pPr>
      <w:r>
        <w:rPr>
          <w:rFonts w:ascii="Calibri" w:hAnsi="Calibri"/>
          <w:b/>
          <w:color w:val="3B4259"/>
          <w:sz w:val="24"/>
        </w:rPr>
        <w:t>Table 2 — Beat / Miss History (Last 8 Quarters, Top 2 KPIs)</w:t>
      </w:r>
    </w:p>
    <w:p>
      <w:r>
        <w:rPr>
          <w:rFonts w:ascii="Calibri" w:hAnsi="Calibri"/>
          <w:color w:val="525866"/>
          <w:sz w:val="22"/>
        </w:rPr>
        <w:t>KPI 1: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1.90</w:t>
            </w:r>
          </w:p>
        </w:tc>
        <w:tc>
          <w:tcPr>
            <w:tcW w:type="dxa" w:w="1728"/>
          </w:tcPr>
          <w:p>
            <w:r>
              <w:rPr>
                <w:rFonts w:ascii="Calibri" w:hAnsi="Calibri"/>
                <w:sz w:val="22"/>
              </w:rPr>
              <w:t>1.72</w:t>
            </w:r>
          </w:p>
        </w:tc>
        <w:tc>
          <w:tcPr>
            <w:tcW w:type="dxa" w:w="1728"/>
          </w:tcPr>
          <w:p>
            <w:r>
              <w:rPr>
                <w:rFonts w:ascii="Calibri" w:hAnsi="Calibri"/>
                <w:b/>
                <w:color w:val="30A46C"/>
                <w:sz w:val="22"/>
              </w:rPr>
              <w:t>+10.5%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1.02</w:t>
            </w:r>
          </w:p>
        </w:tc>
        <w:tc>
          <w:tcPr>
            <w:tcW w:type="dxa" w:w="1728"/>
          </w:tcPr>
          <w:p>
            <w:r>
              <w:rPr>
                <w:rFonts w:ascii="Calibri" w:hAnsi="Calibri"/>
                <w:sz w:val="22"/>
              </w:rPr>
              <w:t>1.07</w:t>
            </w:r>
          </w:p>
        </w:tc>
        <w:tc>
          <w:tcPr>
            <w:tcW w:type="dxa" w:w="1728"/>
          </w:tcPr>
          <w:p>
            <w:r>
              <w:rPr>
                <w:rFonts w:ascii="Calibri" w:hAnsi="Calibri"/>
                <w:b/>
                <w:color w:val="E5484D"/>
                <w:sz w:val="22"/>
              </w:rPr>
              <w:t>-4.7%</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1.61</w:t>
            </w:r>
          </w:p>
        </w:tc>
        <w:tc>
          <w:tcPr>
            <w:tcW w:type="dxa" w:w="1728"/>
          </w:tcPr>
          <w:p>
            <w:r>
              <w:rPr>
                <w:rFonts w:ascii="Calibri" w:hAnsi="Calibri"/>
                <w:sz w:val="22"/>
              </w:rPr>
              <w:t>1.40</w:t>
            </w:r>
          </w:p>
        </w:tc>
        <w:tc>
          <w:tcPr>
            <w:tcW w:type="dxa" w:w="1728"/>
          </w:tcPr>
          <w:p>
            <w:r>
              <w:rPr>
                <w:rFonts w:ascii="Calibri" w:hAnsi="Calibri"/>
                <w:b/>
                <w:color w:val="30A46C"/>
                <w:sz w:val="22"/>
              </w:rPr>
              <w:t>+15.0%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1.42</w:t>
            </w:r>
          </w:p>
        </w:tc>
        <w:tc>
          <w:tcPr>
            <w:tcW w:type="dxa" w:w="1728"/>
          </w:tcPr>
          <w:p>
            <w:r>
              <w:rPr>
                <w:rFonts w:ascii="Calibri" w:hAnsi="Calibri"/>
                <w:sz w:val="22"/>
              </w:rPr>
              <w:t>1.43</w:t>
            </w:r>
          </w:p>
        </w:tc>
        <w:tc>
          <w:tcPr>
            <w:tcW w:type="dxa" w:w="1728"/>
          </w:tcPr>
          <w:p>
            <w:r>
              <w:rPr>
                <w:rFonts w:ascii="Calibri" w:hAnsi="Calibri"/>
                <w:sz w:val="22"/>
              </w:rPr>
              <w:t>-0.7%</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2.10</w:t>
            </w:r>
          </w:p>
        </w:tc>
        <w:tc>
          <w:tcPr>
            <w:tcW w:type="dxa" w:w="1728"/>
          </w:tcPr>
          <w:p>
            <w:r>
              <w:rPr>
                <w:rFonts w:ascii="Calibri" w:hAnsi="Calibri"/>
                <w:sz w:val="22"/>
              </w:rPr>
              <w:t>2.04</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1.99</w:t>
            </w:r>
          </w:p>
        </w:tc>
        <w:tc>
          <w:tcPr>
            <w:tcW w:type="dxa" w:w="1728"/>
          </w:tcPr>
          <w:p>
            <w:r>
              <w:rPr>
                <w:rFonts w:ascii="Calibri" w:hAnsi="Calibri"/>
                <w:sz w:val="22"/>
              </w:rPr>
              <w:t>1.84</w:t>
            </w:r>
          </w:p>
        </w:tc>
        <w:tc>
          <w:tcPr>
            <w:tcW w:type="dxa" w:w="1728"/>
          </w:tcPr>
          <w:p>
            <w:r>
              <w:rPr>
                <w:rFonts w:ascii="Calibri" w:hAnsi="Calibri"/>
                <w:b/>
                <w:color w:val="30A46C"/>
                <w:sz w:val="22"/>
              </w:rPr>
              <w:t>+8.2%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1.79</w:t>
            </w:r>
          </w:p>
        </w:tc>
        <w:tc>
          <w:tcPr>
            <w:tcW w:type="dxa" w:w="1728"/>
          </w:tcPr>
          <w:p>
            <w:r>
              <w:rPr>
                <w:rFonts w:ascii="Calibri" w:hAnsi="Calibri"/>
                <w:sz w:val="22"/>
              </w:rPr>
              <w:t>1.66</w:t>
            </w:r>
          </w:p>
        </w:tc>
        <w:tc>
          <w:tcPr>
            <w:tcW w:type="dxa" w:w="1728"/>
          </w:tcPr>
          <w:p>
            <w:r>
              <w:rPr>
                <w:rFonts w:ascii="Calibri" w:hAnsi="Calibri"/>
                <w:b/>
                <w:color w:val="30A46C"/>
                <w:sz w:val="22"/>
              </w:rPr>
              <w:t>+7.8%</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pre-Marathon close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color w:val="525866"/>
          <w:sz w:val="22"/>
        </w:rPr>
        <w:t>KPI 2: Total Production (MBOED)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(MBOED)</w:t>
            </w:r>
          </w:p>
        </w:tc>
        <w:tc>
          <w:tcPr>
            <w:tcW w:type="dxa" w:w="1728"/>
            <w:shd w:val="clear" w:color="auto" w:fill="3B4259"/>
          </w:tcPr>
          <w:p>
            <w:r>
              <w:rPr>
                <w:rFonts w:ascii="Calibri" w:hAnsi="Calibri"/>
                <w:b/>
                <w:color w:val="FFFFFF"/>
                <w:sz w:val="22"/>
              </w:rPr>
              <w:t>Consensus (MBOED)</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2,307</w:t>
            </w:r>
          </w:p>
        </w:tc>
        <w:tc>
          <w:tcPr>
            <w:tcW w:type="dxa" w:w="1728"/>
          </w:tcPr>
          <w:p>
            <w:r>
              <w:rPr>
                <w:rFonts w:ascii="Calibri" w:hAnsi="Calibri"/>
                <w:sz w:val="22"/>
              </w:rPr>
              <w:t>2,293</w:t>
            </w:r>
          </w:p>
        </w:tc>
        <w:tc>
          <w:tcPr>
            <w:tcW w:type="dxa" w:w="1728"/>
          </w:tcPr>
          <w:p>
            <w:r>
              <w:rPr>
                <w:rFonts w:ascii="Calibri" w:hAnsi="Calibri"/>
                <w:b/>
                <w:color w:val="30A46C"/>
                <w:sz w:val="22"/>
              </w:rPr>
              <w:t>+0.6%</w:t>
            </w:r>
          </w:p>
        </w:tc>
        <w:tc>
          <w:tcPr>
            <w:tcW w:type="dxa" w:w="1728"/>
          </w:tcPr>
          <w:p>
            <w:r>
              <w:rPr>
                <w:rFonts w:ascii="Calibri" w:hAnsi="Calibri"/>
                <w:sz w:val="22"/>
              </w:rPr>
              <w:t>In Line / Slight Beat</w:t>
            </w:r>
          </w:p>
        </w:tc>
      </w:tr>
      <w:tr>
        <w:tc>
          <w:tcPr>
            <w:tcW w:type="dxa" w:w="1728"/>
          </w:tcPr>
          <w:p>
            <w:r>
              <w:rPr>
                <w:rFonts w:ascii="Calibri" w:hAnsi="Calibri"/>
                <w:sz w:val="22"/>
              </w:rPr>
              <w:t>Q4 2025</w:t>
            </w:r>
          </w:p>
        </w:tc>
        <w:tc>
          <w:tcPr>
            <w:tcW w:type="dxa" w:w="1728"/>
          </w:tcPr>
          <w:p>
            <w:r>
              <w:rPr>
                <w:rFonts w:ascii="Calibri" w:hAnsi="Calibri"/>
                <w:sz w:val="22"/>
              </w:rPr>
              <w:t>2,320</w:t>
            </w:r>
          </w:p>
        </w:tc>
        <w:tc>
          <w:tcPr>
            <w:tcW w:type="dxa" w:w="1728"/>
          </w:tcPr>
          <w:p>
            <w:r>
              <w:rPr>
                <w:rFonts w:ascii="Calibri" w:hAnsi="Calibri"/>
                <w:sz w:val="22"/>
              </w:rPr>
              <w:t>2,333</w:t>
            </w:r>
          </w:p>
        </w:tc>
        <w:tc>
          <w:tcPr>
            <w:tcW w:type="dxa" w:w="1728"/>
          </w:tcPr>
          <w:p>
            <w:r>
              <w:rPr>
                <w:rFonts w:ascii="Calibri" w:hAnsi="Calibri"/>
                <w:b/>
                <w:color w:val="E5484D"/>
                <w:sz w:val="22"/>
              </w:rPr>
              <w:t>-0.6%</w:t>
            </w:r>
          </w:p>
        </w:tc>
        <w:tc>
          <w:tcPr>
            <w:tcW w:type="dxa" w:w="1728"/>
          </w:tcPr>
          <w:p>
            <w:r>
              <w:rPr>
                <w:rFonts w:ascii="Calibri" w:hAnsi="Calibri"/>
                <w:sz w:val="22"/>
              </w:rPr>
              <w:t>Slight Miss</w:t>
            </w:r>
          </w:p>
        </w:tc>
      </w:tr>
      <w:tr>
        <w:tc>
          <w:tcPr>
            <w:tcW w:type="dxa" w:w="1728"/>
          </w:tcPr>
          <w:p>
            <w:r>
              <w:rPr>
                <w:rFonts w:ascii="Calibri" w:hAnsi="Calibri"/>
                <w:sz w:val="22"/>
              </w:rPr>
              <w:t>Q3 2025</w:t>
            </w:r>
          </w:p>
        </w:tc>
        <w:tc>
          <w:tcPr>
            <w:tcW w:type="dxa" w:w="1728"/>
          </w:tcPr>
          <w:p>
            <w:r>
              <w:rPr>
                <w:rFonts w:ascii="Calibri" w:hAnsi="Calibri"/>
                <w:sz w:val="22"/>
              </w:rPr>
              <w:t>2,400</w:t>
            </w:r>
          </w:p>
        </w:tc>
        <w:tc>
          <w:tcPr>
            <w:tcW w:type="dxa" w:w="1728"/>
          </w:tcPr>
          <w:p>
            <w:r>
              <w:rPr>
                <w:rFonts w:ascii="Calibri" w:hAnsi="Calibri"/>
                <w:sz w:val="22"/>
              </w:rPr>
              <w:t>2,359</w:t>
            </w:r>
          </w:p>
        </w:tc>
        <w:tc>
          <w:tcPr>
            <w:tcW w:type="dxa" w:w="1728"/>
          </w:tcPr>
          <w:p>
            <w:r>
              <w:rPr>
                <w:rFonts w:ascii="Calibri" w:hAnsi="Calibri"/>
                <w:b/>
                <w:color w:val="30A46C"/>
                <w:sz w:val="22"/>
              </w:rPr>
              <w:t>+1.7%</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2,391</w:t>
            </w:r>
          </w:p>
        </w:tc>
        <w:tc>
          <w:tcPr>
            <w:tcW w:type="dxa" w:w="1728"/>
          </w:tcPr>
          <w:p>
            <w:r>
              <w:rPr>
                <w:rFonts w:ascii="Calibri" w:hAnsi="Calibri"/>
                <w:sz w:val="22"/>
              </w:rPr>
              <w:t>2,363</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2,389</w:t>
            </w:r>
          </w:p>
        </w:tc>
        <w:tc>
          <w:tcPr>
            <w:tcW w:type="dxa" w:w="1728"/>
          </w:tcPr>
          <w:p>
            <w:r>
              <w:rPr>
                <w:rFonts w:ascii="Calibri" w:hAnsi="Calibri"/>
                <w:sz w:val="22"/>
              </w:rPr>
              <w:t>2,368</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2,183</w:t>
            </w:r>
          </w:p>
        </w:tc>
        <w:tc>
          <w:tcPr>
            <w:tcW w:type="dxa" w:w="1728"/>
          </w:tcPr>
          <w:p>
            <w:r>
              <w:rPr>
                <w:rFonts w:ascii="Calibri" w:hAnsi="Calibri"/>
                <w:sz w:val="22"/>
              </w:rPr>
              <w:t>2,119</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1,918</w:t>
            </w:r>
          </w:p>
        </w:tc>
        <w:tc>
          <w:tcPr>
            <w:tcW w:type="dxa" w:w="1728"/>
          </w:tcPr>
          <w:p>
            <w:r>
              <w:rPr>
                <w:rFonts w:ascii="Calibri" w:hAnsi="Calibri"/>
                <w:sz w:val="22"/>
              </w:rPr>
              <w:t>1,889</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pre-Marathon close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COP has beaten adjusted EPS consensus in 6 of the last 7 comparable quarters, with the sole miss in Q4 2025 driven by a weaker oil price environment; production has beaten or matched consensus in 6 of 7 quarters, demonstrating consistent operational delivery. The Q2 2026 production comparison is distorted by the Qatar exclusion from guidance, making the YoY volume decline a known, guided event rather than an operational miss.</w:t>
      </w:r>
    </w:p>
    <w:p>
      <w:r>
        <w:rPr>
          <w:rFonts w:ascii="Calibri" w:hAnsi="Calibri"/>
          <w:b/>
          <w:color w:val="525866"/>
          <w:sz w:val="22"/>
        </w:rPr>
        <w:t xml:space="preserve">Source: </w:t>
      </w:r>
      <w:r>
        <w:rPr>
          <w:rFonts w:ascii="Calibri" w:hAnsi="Calibri"/>
          <w:i/>
          <w:color w:val="525866"/>
          <w:sz w:val="22"/>
        </w:rPr>
        <w:t>Visible Alpha Consensus and Actuals Data (EPS — Diluted Operating; Total Oil Equivalent Production per Day — Total). Consensus figures represent the latest available consensus at the time of each print.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shifted modestly since Q1 2026 earnings — production was revised lower by ~35 MBOED annually (Qatar + Surmont royalty) and CapEx was raised ~$250M at the midpoint for incremental Permian activity — but operating cost guidance is unchanged and the 45% CFO return commitment is reiterated; tone remains confident despite geopolitical headwinds.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Production (MBOED)</w:t>
            </w:r>
          </w:p>
        </w:tc>
        <w:tc>
          <w:tcPr>
            <w:tcW w:type="dxa" w:w="1728"/>
          </w:tcPr>
          <w:p>
            <w:r>
              <w:rPr>
                <w:rFonts w:ascii="Calibri" w:hAnsi="Calibri"/>
                <w:sz w:val="22"/>
              </w:rPr>
              <w:t>2,185–2,215 (excl. Qatar)</w:t>
            </w:r>
          </w:p>
        </w:tc>
        <w:tc>
          <w:tcPr>
            <w:tcW w:type="dxa" w:w="1728"/>
          </w:tcPr>
          <w:p>
            <w:r>
              <w:rPr>
                <w:rFonts w:ascii="Calibri" w:hAnsi="Calibri"/>
                <w:sz w:val="22"/>
              </w:rPr>
              <w:t>—</w:t>
            </w:r>
          </w:p>
        </w:tc>
        <w:tc>
          <w:tcPr>
            <w:tcW w:type="dxa" w:w="1728"/>
          </w:tcPr>
          <w:p>
            <w:r>
              <w:rPr>
                <w:rFonts w:ascii="Calibri" w:hAnsi="Calibri"/>
                <w:sz w:val="22"/>
              </w:rPr>
              <w:t>~2,209 MBOED</w:t>
            </w:r>
          </w:p>
        </w:tc>
        <w:tc>
          <w:tcPr>
            <w:tcW w:type="dxa" w:w="1728"/>
          </w:tcPr>
          <w:p>
            <w:r>
              <w:rPr>
                <w:rFonts w:ascii="Calibri" w:hAnsi="Calibri"/>
                <w:sz w:val="22"/>
              </w:rPr>
              <w:t>Qatar excluded from Q2 guidance due to Middle East conflict; Surmont royalty rate adjustment also embedded</w:t>
            </w:r>
          </w:p>
        </w:tc>
      </w:tr>
      <w:tr>
        <w:tc>
          <w:tcPr>
            <w:tcW w:type="dxa" w:w="1728"/>
          </w:tcPr>
          <w:p>
            <w:r>
              <w:rPr>
                <w:rFonts w:ascii="Calibri" w:hAnsi="Calibri"/>
                <w:sz w:val="22"/>
              </w:rPr>
              <w:t>FY 2026 Production (MBOED)</w:t>
            </w:r>
          </w:p>
        </w:tc>
        <w:tc>
          <w:tcPr>
            <w:tcW w:type="dxa" w:w="1728"/>
          </w:tcPr>
          <w:p>
            <w:r>
              <w:rPr>
                <w:rFonts w:ascii="Calibri" w:hAnsi="Calibri"/>
                <w:sz w:val="22"/>
              </w:rPr>
              <w:t>2,295–2,325 (midpoint 2,310)</w:t>
            </w:r>
          </w:p>
        </w:tc>
        <w:tc>
          <w:tcPr>
            <w:tcW w:type="dxa" w:w="1728"/>
          </w:tcPr>
          <w:p>
            <w:r>
              <w:rPr>
                <w:rFonts w:ascii="Calibri" w:hAnsi="Calibri"/>
                <w:sz w:val="22"/>
              </w:rPr>
              <w:t>—</w:t>
            </w:r>
          </w:p>
        </w:tc>
        <w:tc>
          <w:tcPr>
            <w:tcW w:type="dxa" w:w="1728"/>
          </w:tcPr>
          <w:p>
            <w:r>
              <w:rPr>
                <w:rFonts w:ascii="Calibri" w:hAnsi="Calibri"/>
                <w:sz w:val="22"/>
              </w:rPr>
              <w:t>~2,302 MBOED</w:t>
            </w:r>
          </w:p>
        </w:tc>
        <w:tc>
          <w:tcPr>
            <w:tcW w:type="dxa" w:w="1728"/>
          </w:tcPr>
          <w:p>
            <w:r>
              <w:rPr>
                <w:rFonts w:ascii="Calibri" w:hAnsi="Calibri"/>
                <w:sz w:val="22"/>
              </w:rPr>
              <w:t>↓ Revised lower vs. prior ~2,345 guidance; reflects 20 MBOED Qatar impact + 15 MBOED Surmont royalty adjustment</w:t>
            </w:r>
          </w:p>
        </w:tc>
      </w:tr>
      <w:tr>
        <w:tc>
          <w:tcPr>
            <w:tcW w:type="dxa" w:w="1728"/>
          </w:tcPr>
          <w:p>
            <w:r>
              <w:rPr>
                <w:rFonts w:ascii="Calibri" w:hAnsi="Calibri"/>
                <w:sz w:val="22"/>
              </w:rPr>
              <w:t>FY 2026 CapEx ($B)</w:t>
            </w:r>
          </w:p>
        </w:tc>
        <w:tc>
          <w:tcPr>
            <w:tcW w:type="dxa" w:w="1728"/>
          </w:tcPr>
          <w:p>
            <w:r>
              <w:rPr>
                <w:rFonts w:ascii="Calibri" w:hAnsi="Calibri"/>
                <w:sz w:val="22"/>
              </w:rPr>
              <w:t>$12.0–12.5B (midpoint $12.25B)</w:t>
            </w:r>
          </w:p>
        </w:tc>
        <w:tc>
          <w:tcPr>
            <w:tcW w:type="dxa" w:w="1728"/>
          </w:tcPr>
          <w:p>
            <w:r>
              <w:rPr>
                <w:rFonts w:ascii="Calibri" w:hAnsi="Calibri"/>
                <w:sz w:val="22"/>
              </w:rPr>
              <w:t>—</w:t>
            </w:r>
          </w:p>
        </w:tc>
        <w:tc>
          <w:tcPr>
            <w:tcW w:type="dxa" w:w="1728"/>
          </w:tcPr>
          <w:p>
            <w:r>
              <w:rPr>
                <w:rFonts w:ascii="Calibri" w:hAnsi="Calibri"/>
                <w:sz w:val="22"/>
              </w:rPr>
              <w:t>~$12.3B</w:t>
            </w:r>
          </w:p>
        </w:tc>
        <w:tc>
          <w:tcPr>
            <w:tcW w:type="dxa" w:w="1728"/>
          </w:tcPr>
          <w:p>
            <w:r>
              <w:rPr>
                <w:rFonts w:ascii="Calibri" w:hAnsi="Calibri"/>
                <w:sz w:val="22"/>
              </w:rPr>
              <w:t>↑ Raised ~$250M at midpoint vs. prior ~$12.0B; incremental Permian rig + higher non-operated spend; NFE/NFS timing uncertainty drives range</w:t>
            </w:r>
          </w:p>
        </w:tc>
      </w:tr>
      <w:tr>
        <w:tc>
          <w:tcPr>
            <w:tcW w:type="dxa" w:w="1728"/>
          </w:tcPr>
          <w:p>
            <w:r>
              <w:rPr>
                <w:rFonts w:ascii="Calibri" w:hAnsi="Calibri"/>
                <w:sz w:val="22"/>
              </w:rPr>
              <w:t>FY 2026 Operating Costs ($B)</w:t>
            </w:r>
          </w:p>
        </w:tc>
        <w:tc>
          <w:tcPr>
            <w:tcW w:type="dxa" w:w="1728"/>
          </w:tcPr>
          <w:p>
            <w:r>
              <w:rPr>
                <w:rFonts w:ascii="Calibri" w:hAnsi="Calibri"/>
                <w:sz w:val="22"/>
              </w:rPr>
              <w:t>$10.2B</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reflects $400M reduction vs. 2025 from cost reduction program; management noted potential for further reduction but wants more time</w:t>
            </w:r>
          </w:p>
        </w:tc>
      </w:tr>
      <w:tr>
        <w:tc>
          <w:tcPr>
            <w:tcW w:type="dxa" w:w="1728"/>
          </w:tcPr>
          <w:p>
            <w:r>
              <w:rPr>
                <w:rFonts w:ascii="Calibri" w:hAnsi="Calibri"/>
                <w:sz w:val="22"/>
              </w:rPr>
              <w:t>Capital Return Target</w:t>
            </w:r>
          </w:p>
        </w:tc>
        <w:tc>
          <w:tcPr>
            <w:tcW w:type="dxa" w:w="1728"/>
          </w:tcPr>
          <w:p>
            <w:r>
              <w:rPr>
                <w:rFonts w:ascii="Calibri" w:hAnsi="Calibri"/>
                <w:sz w:val="22"/>
              </w:rPr>
              <w:t>45% of CFO; $0.84/share Q2 ordinary dividend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shareholders directly participate in unhedged oil/LNG upside via 45% CFO commitment</w:t>
            </w:r>
          </w:p>
        </w:tc>
      </w:tr>
      <w:tr>
        <w:tc>
          <w:tcPr>
            <w:tcW w:type="dxa" w:w="1728"/>
          </w:tcPr>
          <w:p>
            <w:r>
              <w:rPr>
                <w:rFonts w:ascii="Calibri" w:hAnsi="Calibri"/>
                <w:sz w:val="22"/>
              </w:rPr>
              <w:t>Willow (Early Oil Target)</w:t>
            </w:r>
          </w:p>
        </w:tc>
        <w:tc>
          <w:tcPr>
            <w:tcW w:type="dxa" w:w="1728"/>
          </w:tcPr>
          <w:p>
            <w:r>
              <w:rPr>
                <w:rFonts w:ascii="Calibri" w:hAnsi="Calibri"/>
                <w:sz w:val="22"/>
              </w:rPr>
              <w:t>2029; project 50% complete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sea lift of process modules planned for summer 2027; underpins $7B FCF inflection by 2029</w:t>
            </w:r>
          </w:p>
        </w:tc>
      </w:tr>
      <w:tr>
        <w:tc>
          <w:tcPr>
            <w:tcW w:type="dxa" w:w="1728"/>
          </w:tcPr>
          <w:p>
            <w:r>
              <w:rPr>
                <w:rFonts w:ascii="Calibri" w:hAnsi="Calibri"/>
                <w:sz w:val="22"/>
              </w:rPr>
              <w:t>NFE/NFS (Qatar LNG) Start-Up</w:t>
            </w:r>
          </w:p>
        </w:tc>
        <w:tc>
          <w:tcPr>
            <w:tcW w:type="dxa" w:w="1728"/>
          </w:tcPr>
          <w:p>
            <w:r>
              <w:rPr>
                <w:rFonts w:ascii="Calibri" w:hAnsi="Calibri"/>
                <w:sz w:val="22"/>
              </w:rPr>
              <w:t>H2 2026 (QE guidance); COP expects months of delay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Construction progressing; delay expected “to the tune of months”; start-up could extend into early 2027</w:t>
            </w:r>
          </w:p>
        </w:tc>
      </w:tr>
    </w:tbl>
    <w:p>
      <w:r>
        <w:rPr>
          <w:rFonts w:ascii="Calibri" w:hAnsi="Calibri"/>
          <w:b/>
          <w:color w:val="525866"/>
          <w:sz w:val="22"/>
        </w:rPr>
        <w:t xml:space="preserve">Source: </w:t>
      </w:r>
      <w:r>
        <w:rPr>
          <w:rFonts w:ascii="Calibri" w:hAnsi="Calibri"/>
          <w:i/>
          <w:color w:val="525866"/>
          <w:sz w:val="22"/>
        </w:rPr>
        <w:t>ConocoPhillips Q1 2026 Earnings Release (April 30, 2026) and Q1 2026 Earnings Call Transcript (April 30, 2026). Consensus from Visible Alpha.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EPS estimates have surged ~72% since the Q1 print (from ~$1.72 to ~$2.95), tracking the oil price spike rather than any guidance change; FY 2026 EPS estimates are up ~17% over the same period, with consensus now sitting above the implied run-rate of guidance — the gap represents upside risk to guidance rather than a miss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7,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$1.72</w:t>
            </w:r>
          </w:p>
        </w:tc>
        <w:tc>
          <w:tcPr>
            <w:tcW w:type="dxa" w:w="1080"/>
          </w:tcPr>
          <w:p>
            <w:r>
              <w:rPr>
                <w:rFonts w:ascii="Calibri" w:hAnsi="Calibri"/>
                <w:sz w:val="22"/>
              </w:rPr>
              <w:t>$2.95</w:t>
            </w:r>
          </w:p>
        </w:tc>
        <w:tc>
          <w:tcPr>
            <w:tcW w:type="dxa" w:w="1080"/>
          </w:tcPr>
          <w:p>
            <w:r>
              <w:rPr>
                <w:rFonts w:ascii="Calibri" w:hAnsi="Calibri"/>
                <w:b/>
                <w:color w:val="30A46C"/>
                <w:sz w:val="22"/>
              </w:rPr>
              <w:t>+71.5%</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$9.98</w:t>
            </w:r>
          </w:p>
        </w:tc>
        <w:tc>
          <w:tcPr>
            <w:tcW w:type="dxa" w:w="1080"/>
          </w:tcPr>
          <w:p>
            <w:r>
              <w:rPr>
                <w:rFonts w:ascii="Calibri" w:hAnsi="Calibri"/>
                <w:sz w:val="22"/>
              </w:rPr>
              <w:t>$9.49</w:t>
            </w:r>
          </w:p>
        </w:tc>
        <w:tc>
          <w:tcPr>
            <w:tcW w:type="dxa" w:w="1080"/>
          </w:tcPr>
          <w:p>
            <w:r>
              <w:rPr>
                <w:rFonts w:ascii="Calibri" w:hAnsi="Calibri"/>
                <w:b/>
                <w:color w:val="E5484D"/>
                <w:sz w:val="22"/>
              </w:rPr>
              <w:t>-4.9%</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Production — Q2 2026 (MBOED)</w:t>
            </w:r>
          </w:p>
        </w:tc>
        <w:tc>
          <w:tcPr>
            <w:tcW w:type="dxa" w:w="1080"/>
          </w:tcPr>
          <w:p>
            <w:r>
              <w:rPr>
                <w:rFonts w:ascii="Calibri" w:hAnsi="Calibri"/>
                <w:sz w:val="22"/>
              </w:rPr>
              <w:t>2,215</w:t>
            </w:r>
          </w:p>
        </w:tc>
        <w:tc>
          <w:tcPr>
            <w:tcW w:type="dxa" w:w="1080"/>
          </w:tcPr>
          <w:p>
            <w:r>
              <w:rPr>
                <w:rFonts w:ascii="Calibri" w:hAnsi="Calibri"/>
                <w:sz w:val="22"/>
              </w:rPr>
              <w:t>2,209</w:t>
            </w:r>
          </w:p>
        </w:tc>
        <w:tc>
          <w:tcPr>
            <w:tcW w:type="dxa" w:w="1080"/>
          </w:tcPr>
          <w:p>
            <w:r>
              <w:rPr>
                <w:rFonts w:ascii="Calibri" w:hAnsi="Calibri"/>
                <w:sz w:val="22"/>
              </w:rPr>
              <w:t>-0.3%</w:t>
            </w:r>
          </w:p>
        </w:tc>
        <w:tc>
          <w:tcPr>
            <w:tcW w:type="dxa" w:w="1080"/>
          </w:tcPr>
          <w:p>
            <w:r>
              <w:rPr>
                <w:rFonts w:ascii="Calibri" w:hAnsi="Calibri"/>
                <w:sz w:val="22"/>
              </w:rPr>
              <w:t>2,185–2,215 (excl. Qatar)</w:t>
            </w:r>
          </w:p>
        </w:tc>
        <w:tc>
          <w:tcPr>
            <w:tcW w:type="dxa" w:w="1080"/>
          </w:tcPr>
          <w:p>
            <w:r>
              <w:rPr>
                <w:rFonts w:ascii="Calibri" w:hAnsi="Calibri"/>
                <w:sz w:val="22"/>
              </w:rPr>
              <w:t>2,185–2,215 (excl. Qatar)</w:t>
            </w:r>
          </w:p>
        </w:tc>
        <w:tc>
          <w:tcPr>
            <w:tcW w:type="dxa" w:w="1080"/>
          </w:tcPr>
          <w:p>
            <w:r>
              <w:rPr>
                <w:rFonts w:ascii="Calibri" w:hAnsi="Calibri"/>
                <w:sz w:val="22"/>
              </w:rPr>
              <w:t>Unchanged</w:t>
            </w:r>
          </w:p>
        </w:tc>
        <w:tc>
          <w:tcPr>
            <w:tcW w:type="dxa" w:w="1080"/>
          </w:tcPr>
          <w:p>
            <w:r>
              <w:rPr>
                <w:rFonts w:ascii="Calibri" w:hAnsi="Calibri"/>
                <w:sz w:val="22"/>
              </w:rPr>
              <w:t>~0% vs. midpoint</w:t>
            </w:r>
          </w:p>
        </w:tc>
      </w:tr>
      <w:tr>
        <w:tc>
          <w:tcPr>
            <w:tcW w:type="dxa" w:w="1080"/>
          </w:tcPr>
          <w:p>
            <w:r>
              <w:rPr>
                <w:rFonts w:ascii="Calibri" w:hAnsi="Calibri"/>
                <w:sz w:val="22"/>
              </w:rPr>
              <w:t>Production — FY 2026 (MBOED)</w:t>
            </w:r>
          </w:p>
        </w:tc>
        <w:tc>
          <w:tcPr>
            <w:tcW w:type="dxa" w:w="1080"/>
          </w:tcPr>
          <w:p>
            <w:r>
              <w:rPr>
                <w:rFonts w:ascii="Calibri" w:hAnsi="Calibri"/>
                <w:sz w:val="22"/>
              </w:rPr>
              <w:t>2,302</w:t>
            </w:r>
          </w:p>
        </w:tc>
        <w:tc>
          <w:tcPr>
            <w:tcW w:type="dxa" w:w="1080"/>
          </w:tcPr>
          <w:p>
            <w:r>
              <w:rPr>
                <w:rFonts w:ascii="Calibri" w:hAnsi="Calibri"/>
                <w:sz w:val="22"/>
              </w:rPr>
              <w:t>2,302</w:t>
            </w:r>
          </w:p>
        </w:tc>
        <w:tc>
          <w:tcPr>
            <w:tcW w:type="dxa" w:w="1080"/>
          </w:tcPr>
          <w:p>
            <w:r>
              <w:rPr>
                <w:rFonts w:ascii="Calibri" w:hAnsi="Calibri"/>
                <w:sz w:val="22"/>
              </w:rPr>
              <w:t>~0%</w:t>
            </w:r>
          </w:p>
        </w:tc>
        <w:tc>
          <w:tcPr>
            <w:tcW w:type="dxa" w:w="1080"/>
          </w:tcPr>
          <w:p>
            <w:r>
              <w:rPr>
                <w:rFonts w:ascii="Calibri" w:hAnsi="Calibri"/>
                <w:sz w:val="22"/>
              </w:rPr>
              <w:t>2,295–2,325 (midpoint 2,310)</w:t>
            </w:r>
          </w:p>
        </w:tc>
        <w:tc>
          <w:tcPr>
            <w:tcW w:type="dxa" w:w="1080"/>
          </w:tcPr>
          <w:p>
            <w:r>
              <w:rPr>
                <w:rFonts w:ascii="Calibri" w:hAnsi="Calibri"/>
                <w:sz w:val="22"/>
              </w:rPr>
              <w:t>2,295–2,325 (midpoint 2,310)</w:t>
            </w:r>
          </w:p>
        </w:tc>
        <w:tc>
          <w:tcPr>
            <w:tcW w:type="dxa" w:w="1080"/>
          </w:tcPr>
          <w:p>
            <w:r>
              <w:rPr>
                <w:rFonts w:ascii="Calibri" w:hAnsi="Calibri"/>
                <w:sz w:val="22"/>
              </w:rPr>
              <w:t>Unchanged</w:t>
            </w:r>
          </w:p>
        </w:tc>
        <w:tc>
          <w:tcPr>
            <w:tcW w:type="dxa" w:w="1080"/>
          </w:tcPr>
          <w:p>
            <w:r>
              <w:rPr>
                <w:rFonts w:ascii="Calibri" w:hAnsi="Calibri"/>
                <w:sz w:val="22"/>
              </w:rPr>
              <w:t>-0.3% vs. midpoint</w:t>
            </w:r>
          </w:p>
        </w:tc>
      </w:tr>
      <w:tr>
        <w:tc>
          <w:tcPr>
            <w:tcW w:type="dxa" w:w="1080"/>
          </w:tcPr>
          <w:p>
            <w:r>
              <w:rPr>
                <w:rFonts w:ascii="Calibri" w:hAnsi="Calibri"/>
                <w:sz w:val="22"/>
              </w:rPr>
              <w:t>CapEx — FY 2026 ($B)</w:t>
            </w:r>
          </w:p>
        </w:tc>
        <w:tc>
          <w:tcPr>
            <w:tcW w:type="dxa" w:w="1080"/>
          </w:tcPr>
          <w:p>
            <w:r>
              <w:rPr>
                <w:rFonts w:ascii="Calibri" w:hAnsi="Calibri"/>
                <w:sz w:val="22"/>
              </w:rPr>
              <w:t>$12.27B</w:t>
            </w:r>
          </w:p>
        </w:tc>
        <w:tc>
          <w:tcPr>
            <w:tcW w:type="dxa" w:w="1080"/>
          </w:tcPr>
          <w:p>
            <w:r>
              <w:rPr>
                <w:rFonts w:ascii="Calibri" w:hAnsi="Calibri"/>
                <w:sz w:val="22"/>
              </w:rPr>
              <w:t>$12.30B</w:t>
            </w:r>
          </w:p>
        </w:tc>
        <w:tc>
          <w:tcPr>
            <w:tcW w:type="dxa" w:w="1080"/>
          </w:tcPr>
          <w:p>
            <w:r>
              <w:rPr>
                <w:rFonts w:ascii="Calibri" w:hAnsi="Calibri"/>
                <w:sz w:val="22"/>
              </w:rPr>
              <w:t>+0.2%</w:t>
            </w:r>
          </w:p>
        </w:tc>
        <w:tc>
          <w:tcPr>
            <w:tcW w:type="dxa" w:w="1080"/>
          </w:tcPr>
          <w:p>
            <w:r>
              <w:rPr>
                <w:rFonts w:ascii="Calibri" w:hAnsi="Calibri"/>
                <w:sz w:val="22"/>
              </w:rPr>
              <w:t>$12.0–12.5B</w:t>
            </w:r>
          </w:p>
        </w:tc>
        <w:tc>
          <w:tcPr>
            <w:tcW w:type="dxa" w:w="1080"/>
          </w:tcPr>
          <w:p>
            <w:r>
              <w:rPr>
                <w:rFonts w:ascii="Calibri" w:hAnsi="Calibri"/>
                <w:sz w:val="22"/>
              </w:rPr>
              <w:t>$12.0–12.5B</w:t>
            </w:r>
          </w:p>
        </w:tc>
        <w:tc>
          <w:tcPr>
            <w:tcW w:type="dxa" w:w="1080"/>
          </w:tcPr>
          <w:p>
            <w:r>
              <w:rPr>
                <w:rFonts w:ascii="Calibri" w:hAnsi="Calibri"/>
                <w:sz w:val="22"/>
              </w:rPr>
              <w:t>Unchanged</w:t>
            </w:r>
          </w:p>
        </w:tc>
        <w:tc>
          <w:tcPr>
            <w:tcW w:type="dxa" w:w="1080"/>
          </w:tcPr>
          <w:p>
            <w:r>
              <w:rPr>
                <w:rFonts w:ascii="Calibri" w:hAnsi="Calibri"/>
                <w:sz w:val="22"/>
              </w:rPr>
              <w:t>~0% vs. midpoint</w:t>
            </w:r>
          </w:p>
        </w:tc>
      </w:tr>
      <w:tr>
        <w:tc>
          <w:tcPr>
            <w:tcW w:type="dxa" w:w="1080"/>
          </w:tcPr>
          <w:p>
            <w:r>
              <w:rPr>
                <w:rFonts w:ascii="Calibri" w:hAnsi="Calibri"/>
                <w:sz w:val="22"/>
              </w:rPr>
              <w:t>FCF — Q2 2026 ($B)</w:t>
            </w:r>
          </w:p>
        </w:tc>
        <w:tc>
          <w:tcPr>
            <w:tcW w:type="dxa" w:w="1080"/>
          </w:tcPr>
          <w:p>
            <w:r>
              <w:rPr>
                <w:rFonts w:ascii="Calibri" w:hAnsi="Calibri"/>
                <w:sz w:val="22"/>
              </w:rPr>
              <w:t>$3.72B</w:t>
            </w:r>
          </w:p>
        </w:tc>
        <w:tc>
          <w:tcPr>
            <w:tcW w:type="dxa" w:w="1080"/>
          </w:tcPr>
          <w:p>
            <w:r>
              <w:rPr>
                <w:rFonts w:ascii="Calibri" w:hAnsi="Calibri"/>
                <w:sz w:val="22"/>
              </w:rPr>
              <w:t>$3.62B</w:t>
            </w:r>
          </w:p>
        </w:tc>
        <w:tc>
          <w:tcPr>
            <w:tcW w:type="dxa" w:w="1080"/>
          </w:tcPr>
          <w:p>
            <w:r>
              <w:rPr>
                <w:rFonts w:ascii="Calibri" w:hAnsi="Calibri"/>
                <w:sz w:val="22"/>
              </w:rPr>
              <w:t>-2.7%</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FCF — FY 2026 ($B)</w:t>
            </w:r>
          </w:p>
        </w:tc>
        <w:tc>
          <w:tcPr>
            <w:tcW w:type="dxa" w:w="1080"/>
          </w:tcPr>
          <w:p>
            <w:r>
              <w:rPr>
                <w:rFonts w:ascii="Calibri" w:hAnsi="Calibri"/>
                <w:sz w:val="22"/>
              </w:rPr>
              <w:t>$11.84B</w:t>
            </w:r>
          </w:p>
        </w:tc>
        <w:tc>
          <w:tcPr>
            <w:tcW w:type="dxa" w:w="1080"/>
          </w:tcPr>
          <w:p>
            <w:r>
              <w:rPr>
                <w:rFonts w:ascii="Calibri" w:hAnsi="Calibri"/>
                <w:sz w:val="22"/>
              </w:rPr>
              <w:t>$11.45B</w:t>
            </w:r>
          </w:p>
        </w:tc>
        <w:tc>
          <w:tcPr>
            <w:tcW w:type="dxa" w:w="1080"/>
          </w:tcPr>
          <w:p>
            <w:r>
              <w:rPr>
                <w:rFonts w:ascii="Calibri" w:hAnsi="Calibri"/>
                <w:sz w:val="22"/>
              </w:rPr>
              <w:t>-3.3%</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sharp upward revision in Q2 EPS estimates (+71.5% since the Q1 print) reflects the oil price surge from the Iran conflict rather than any company-specific guidance change. FY 2026 EPS consensus has modestly pulled back from the post-Q1 spike as oil prices partially retraced from peak levels, but remains well above pre-conflict levels. Production estimates are tightly anchored to guidance midpoints, with consensus tracking the guided range almost exactly. The key watch item is whether management provides any update on Qatar reinstatement — even a partial return of the ~80 MBOED run-rate would be a meaningful positive revision catalyst for H2 2026 and FY 2027 estimates.</w:t>
      </w:r>
    </w:p>
    <w:p>
      <w:r>
        <w:rPr>
          <w:rFonts w:ascii="Calibri" w:hAnsi="Calibri"/>
          <w:b/>
          <w:color w:val="525866"/>
          <w:sz w:val="22"/>
        </w:rPr>
        <w:t xml:space="preserve">Source: </w:t>
      </w:r>
      <w:r>
        <w:rPr>
          <w:rFonts w:ascii="Calibri" w:hAnsi="Calibri"/>
          <w:i/>
          <w:color w:val="525866"/>
          <w:sz w:val="22"/>
        </w:rPr>
        <w:t>Visible Alpha Consensus and Actuals Data. Post-Q1 baseline uses as-of date of May 7, 2026 (approximately 5 trading days after the April 30, 2026 earnings release). Current consensus as of August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COP has underperformed both XLE and the S&amp;P 500 since the Q1 print, with the stock down ~8.5% vs. XLE -3.9% and SPY +7.1% — the underperformance is multiple-driven (EV/EBITDA contracted ~2.5% over 3 months) as the Qatar production overhang and Willow cost uncertainty weighed on sentiment even as EPS estimates surged; the gap between rising earnings power and falling stock price creates a compelling setup into the print.</w:t>
      </w:r>
    </w:p>
    <w:p>
      <w:r>
        <w:rPr>
          <w:rFonts w:ascii="Calibri" w:hAnsi="Calibri"/>
          <w:color w:val="525866"/>
          <w:sz w:val="22"/>
        </w:rPr>
        <w:t>The chart below shows COP, XLE, and SPY indexed to 100 at the April 30, 2026 Q1 earnings date. Key events are marked.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COP (Indexed)</w:t>
            </w:r>
          </w:p>
        </w:tc>
        <w:tc>
          <w:tcPr>
            <w:tcW w:type="dxa" w:w="1728"/>
            <w:shd w:val="clear" w:color="auto" w:fill="3B4259"/>
          </w:tcPr>
          <w:p>
            <w:r>
              <w:rPr>
                <w:rFonts w:ascii="Calibri" w:hAnsi="Calibri"/>
                <w:b/>
                <w:color w:val="FFFFFF"/>
                <w:sz w:val="22"/>
              </w:rPr>
              <w:t>XLE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30, 2026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(EPS beat; Qatar excluded from Q2 guidance)</w:t>
            </w:r>
          </w:p>
        </w:tc>
      </w:tr>
      <w:tr>
        <w:tc>
          <w:tcPr>
            <w:tcW w:type="dxa" w:w="1728"/>
          </w:tcPr>
          <w:p>
            <w:r>
              <w:rPr>
                <w:rFonts w:ascii="Calibri" w:hAnsi="Calibri"/>
                <w:sz w:val="22"/>
              </w:rPr>
              <w:t>May 8, 2026</w:t>
            </w:r>
          </w:p>
        </w:tc>
        <w:tc>
          <w:tcPr>
            <w:tcW w:type="dxa" w:w="1728"/>
          </w:tcPr>
          <w:p>
            <w:r>
              <w:rPr>
                <w:rFonts w:ascii="Calibri" w:hAnsi="Calibri"/>
                <w:sz w:val="22"/>
              </w:rPr>
              <w:t>90.5</w:t>
            </w:r>
          </w:p>
        </w:tc>
        <w:tc>
          <w:tcPr>
            <w:tcW w:type="dxa" w:w="1728"/>
          </w:tcPr>
          <w:p>
            <w:r>
              <w:rPr>
                <w:rFonts w:ascii="Calibri" w:hAnsi="Calibri"/>
                <w:sz w:val="22"/>
              </w:rPr>
              <w:t>93.4</w:t>
            </w:r>
          </w:p>
        </w:tc>
        <w:tc>
          <w:tcPr>
            <w:tcW w:type="dxa" w:w="1728"/>
          </w:tcPr>
          <w:p>
            <w:r>
              <w:rPr>
                <w:rFonts w:ascii="Calibri" w:hAnsi="Calibri"/>
                <w:sz w:val="22"/>
              </w:rPr>
              <w:t>102.6</w:t>
            </w:r>
          </w:p>
        </w:tc>
        <w:tc>
          <w:tcPr>
            <w:tcW w:type="dxa" w:w="1728"/>
          </w:tcPr>
          <w:p>
            <w:r>
              <w:rPr>
                <w:rFonts w:ascii="Calibri" w:hAnsi="Calibri"/>
                <w:sz w:val="22"/>
              </w:rPr>
              <w:t>Post-earnings drift lower on Qatar/production concerns</w:t>
            </w:r>
          </w:p>
        </w:tc>
      </w:tr>
      <w:tr>
        <w:tc>
          <w:tcPr>
            <w:tcW w:type="dxa" w:w="1728"/>
          </w:tcPr>
          <w:p>
            <w:r>
              <w:rPr>
                <w:rFonts w:ascii="Calibri" w:hAnsi="Calibri"/>
                <w:sz w:val="22"/>
              </w:rPr>
              <w:t>May 14, 2026</w:t>
            </w:r>
          </w:p>
        </w:tc>
        <w:tc>
          <w:tcPr>
            <w:tcW w:type="dxa" w:w="1728"/>
          </w:tcPr>
          <w:p>
            <w:r>
              <w:rPr>
                <w:rFonts w:ascii="Calibri" w:hAnsi="Calibri"/>
                <w:sz w:val="22"/>
              </w:rPr>
              <w:t>94.6</w:t>
            </w:r>
          </w:p>
        </w:tc>
        <w:tc>
          <w:tcPr>
            <w:tcW w:type="dxa" w:w="1728"/>
          </w:tcPr>
          <w:p>
            <w:r>
              <w:rPr>
                <w:rFonts w:ascii="Calibri" w:hAnsi="Calibri"/>
                <w:sz w:val="22"/>
              </w:rPr>
              <w:t>97.4</w:t>
            </w:r>
          </w:p>
        </w:tc>
        <w:tc>
          <w:tcPr>
            <w:tcW w:type="dxa" w:w="1728"/>
          </w:tcPr>
          <w:p>
            <w:r>
              <w:rPr>
                <w:rFonts w:ascii="Calibri" w:hAnsi="Calibri"/>
                <w:sz w:val="22"/>
              </w:rPr>
              <w:t>104.1</w:t>
            </w:r>
          </w:p>
        </w:tc>
        <w:tc>
          <w:tcPr>
            <w:tcW w:type="dxa" w:w="1728"/>
          </w:tcPr>
          <w:p>
            <w:r>
              <w:rPr>
                <w:rFonts w:ascii="Calibri" w:hAnsi="Calibri"/>
                <w:sz w:val="22"/>
              </w:rPr>
              <w:t>Shareholder meeting; independent board chairman proposal rejected</w:t>
            </w:r>
          </w:p>
        </w:tc>
      </w:tr>
      <w:tr>
        <w:tc>
          <w:tcPr>
            <w:tcW w:type="dxa" w:w="1728"/>
          </w:tcPr>
          <w:p>
            <w:r>
              <w:rPr>
                <w:rFonts w:ascii="Calibri" w:hAnsi="Calibri"/>
                <w:sz w:val="22"/>
              </w:rPr>
              <w:t>Jun 23, 2026</w:t>
            </w:r>
          </w:p>
        </w:tc>
        <w:tc>
          <w:tcPr>
            <w:tcW w:type="dxa" w:w="1728"/>
          </w:tcPr>
          <w:p>
            <w:r>
              <w:rPr>
                <w:rFonts w:ascii="Calibri" w:hAnsi="Calibri"/>
                <w:sz w:val="22"/>
              </w:rPr>
              <w:t>87.4</w:t>
            </w:r>
          </w:p>
        </w:tc>
        <w:tc>
          <w:tcPr>
            <w:tcW w:type="dxa" w:w="1728"/>
          </w:tcPr>
          <w:p>
            <w:r>
              <w:rPr>
                <w:rFonts w:ascii="Calibri" w:hAnsi="Calibri"/>
                <w:sz w:val="22"/>
              </w:rPr>
              <w:t>91.3</w:t>
            </w:r>
          </w:p>
        </w:tc>
        <w:tc>
          <w:tcPr>
            <w:tcW w:type="dxa" w:w="1728"/>
          </w:tcPr>
          <w:p>
            <w:r>
              <w:rPr>
                <w:rFonts w:ascii="Calibri" w:hAnsi="Calibri"/>
                <w:sz w:val="22"/>
              </w:rPr>
              <w:t>102.1</w:t>
            </w:r>
          </w:p>
        </w:tc>
        <w:tc>
          <w:tcPr>
            <w:tcW w:type="dxa" w:w="1728"/>
          </w:tcPr>
          <w:p>
            <w:r>
              <w:rPr>
                <w:rFonts w:ascii="Calibri" w:hAnsi="Calibri"/>
                <w:sz w:val="22"/>
              </w:rPr>
              <w:t>Legal Chief Kelly Rose retirement announced (8-K)</w:t>
            </w:r>
          </w:p>
        </w:tc>
      </w:tr>
      <w:tr>
        <w:tc>
          <w:tcPr>
            <w:tcW w:type="dxa" w:w="1728"/>
          </w:tcPr>
          <w:p>
            <w:r>
              <w:rPr>
                <w:rFonts w:ascii="Calibri" w:hAnsi="Calibri"/>
                <w:sz w:val="22"/>
              </w:rPr>
              <w:t>Jun 30, 2026</w:t>
            </w:r>
          </w:p>
        </w:tc>
        <w:tc>
          <w:tcPr>
            <w:tcW w:type="dxa" w:w="1728"/>
          </w:tcPr>
          <w:p>
            <w:r>
              <w:rPr>
                <w:rFonts w:ascii="Calibri" w:hAnsi="Calibri"/>
                <w:sz w:val="22"/>
              </w:rPr>
              <w:t>82.7</w:t>
            </w:r>
          </w:p>
        </w:tc>
        <w:tc>
          <w:tcPr>
            <w:tcW w:type="dxa" w:w="1728"/>
          </w:tcPr>
          <w:p>
            <w:r>
              <w:rPr>
                <w:rFonts w:ascii="Calibri" w:hAnsi="Calibri"/>
                <w:sz w:val="22"/>
              </w:rPr>
              <w:t>89.0</w:t>
            </w:r>
          </w:p>
        </w:tc>
        <w:tc>
          <w:tcPr>
            <w:tcW w:type="dxa" w:w="1728"/>
          </w:tcPr>
          <w:p>
            <w:r>
              <w:rPr>
                <w:rFonts w:ascii="Calibri" w:hAnsi="Calibri"/>
                <w:sz w:val="22"/>
              </w:rPr>
              <w:t>103.9</w:t>
            </w:r>
          </w:p>
        </w:tc>
        <w:tc>
          <w:tcPr>
            <w:tcW w:type="dxa" w:w="1728"/>
          </w:tcPr>
          <w:p>
            <w:r>
              <w:rPr>
                <w:rFonts w:ascii="Calibri" w:hAnsi="Calibri"/>
                <w:sz w:val="22"/>
              </w:rPr>
              <w:t>Quarter-end trough; COP -17.3% from base</w:t>
            </w:r>
          </w:p>
        </w:tc>
      </w:tr>
      <w:tr>
        <w:tc>
          <w:tcPr>
            <w:tcW w:type="dxa" w:w="1728"/>
          </w:tcPr>
          <w:p>
            <w:r>
              <w:rPr>
                <w:rFonts w:ascii="Calibri" w:hAnsi="Calibri"/>
                <w:sz w:val="22"/>
              </w:rPr>
              <w:t>Jul 23, 2026</w:t>
            </w:r>
          </w:p>
        </w:tc>
        <w:tc>
          <w:tcPr>
            <w:tcW w:type="dxa" w:w="1728"/>
          </w:tcPr>
          <w:p>
            <w:r>
              <w:rPr>
                <w:rFonts w:ascii="Calibri" w:hAnsi="Calibri"/>
                <w:sz w:val="22"/>
              </w:rPr>
              <w:t>95.6</w:t>
            </w:r>
          </w:p>
        </w:tc>
        <w:tc>
          <w:tcPr>
            <w:tcW w:type="dxa" w:w="1728"/>
          </w:tcPr>
          <w:p>
            <w:r>
              <w:rPr>
                <w:rFonts w:ascii="Calibri" w:hAnsi="Calibri"/>
                <w:sz w:val="22"/>
              </w:rPr>
              <w:t>99.5</w:t>
            </w:r>
          </w:p>
        </w:tc>
        <w:tc>
          <w:tcPr>
            <w:tcW w:type="dxa" w:w="1728"/>
          </w:tcPr>
          <w:p>
            <w:r>
              <w:rPr>
                <w:rFonts w:ascii="Calibri" w:hAnsi="Calibri"/>
                <w:sz w:val="22"/>
              </w:rPr>
              <w:t>102.7</w:t>
            </w:r>
          </w:p>
        </w:tc>
        <w:tc>
          <w:tcPr>
            <w:tcW w:type="dxa" w:w="1728"/>
          </w:tcPr>
          <w:p>
            <w:r>
              <w:rPr>
                <w:rFonts w:ascii="Calibri" w:hAnsi="Calibri"/>
                <w:sz w:val="22"/>
              </w:rPr>
              <w:t>Brent crosses $100/bbl; Houthi strikes on Saudi tankers</w:t>
            </w:r>
          </w:p>
        </w:tc>
      </w:tr>
      <w:tr>
        <w:tc>
          <w:tcPr>
            <w:tcW w:type="dxa" w:w="1728"/>
          </w:tcPr>
          <w:p>
            <w:r>
              <w:rPr>
                <w:rFonts w:ascii="Calibri" w:hAnsi="Calibri"/>
                <w:sz w:val="22"/>
              </w:rPr>
              <w:t>Jul 31, 2026</w:t>
            </w:r>
          </w:p>
        </w:tc>
        <w:tc>
          <w:tcPr>
            <w:tcW w:type="dxa" w:w="1728"/>
          </w:tcPr>
          <w:p>
            <w:r>
              <w:rPr>
                <w:rFonts w:ascii="Calibri" w:hAnsi="Calibri"/>
                <w:sz w:val="22"/>
              </w:rPr>
              <w:t>95.8</w:t>
            </w:r>
          </w:p>
        </w:tc>
        <w:tc>
          <w:tcPr>
            <w:tcW w:type="dxa" w:w="1728"/>
          </w:tcPr>
          <w:p>
            <w:r>
              <w:rPr>
                <w:rFonts w:ascii="Calibri" w:hAnsi="Calibri"/>
                <w:sz w:val="22"/>
              </w:rPr>
              <w:t>99.8</w:t>
            </w:r>
          </w:p>
        </w:tc>
        <w:tc>
          <w:tcPr>
            <w:tcW w:type="dxa" w:w="1728"/>
          </w:tcPr>
          <w:p>
            <w:r>
              <w:rPr>
                <w:rFonts w:ascii="Calibri" w:hAnsi="Calibri"/>
                <w:sz w:val="22"/>
              </w:rPr>
              <w:t>103.9</w:t>
            </w:r>
          </w:p>
        </w:tc>
        <w:tc>
          <w:tcPr>
            <w:tcW w:type="dxa" w:w="1728"/>
          </w:tcPr>
          <w:p>
            <w:r>
              <w:rPr>
                <w:rFonts w:ascii="Calibri" w:hAnsi="Calibri"/>
                <w:sz w:val="22"/>
              </w:rPr>
              <w:t>XOM &amp; CVX Q2 earnings (both beat; XOM -1%, CVX +2%)</w:t>
            </w:r>
          </w:p>
        </w:tc>
      </w:tr>
      <w:tr>
        <w:tc>
          <w:tcPr>
            <w:tcW w:type="dxa" w:w="1728"/>
          </w:tcPr>
          <w:p>
            <w:r>
              <w:rPr>
                <w:rFonts w:ascii="Calibri" w:hAnsi="Calibri"/>
                <w:sz w:val="22"/>
              </w:rPr>
              <w:t>Aug 5, 2026 (Latest)</w:t>
            </w:r>
          </w:p>
        </w:tc>
        <w:tc>
          <w:tcPr>
            <w:tcW w:type="dxa" w:w="1728"/>
          </w:tcPr>
          <w:p>
            <w:r>
              <w:rPr>
                <w:rFonts w:ascii="Calibri" w:hAnsi="Calibri"/>
                <w:sz w:val="22"/>
              </w:rPr>
              <w:t>91.5</w:t>
            </w:r>
          </w:p>
        </w:tc>
        <w:tc>
          <w:tcPr>
            <w:tcW w:type="dxa" w:w="1728"/>
          </w:tcPr>
          <w:p>
            <w:r>
              <w:rPr>
                <w:rFonts w:ascii="Calibri" w:hAnsi="Calibri"/>
                <w:sz w:val="22"/>
              </w:rPr>
              <w:t>96.1</w:t>
            </w:r>
          </w:p>
        </w:tc>
        <w:tc>
          <w:tcPr>
            <w:tcW w:type="dxa" w:w="1728"/>
          </w:tcPr>
          <w:p>
            <w:r>
              <w:rPr>
                <w:rFonts w:ascii="Calibri" w:hAnsi="Calibri"/>
                <w:sz w:val="22"/>
              </w:rPr>
              <w:t>107.1</w:t>
            </w:r>
          </w:p>
        </w:tc>
        <w:tc>
          <w:tcPr>
            <w:tcW w:type="dxa" w:w="1728"/>
          </w:tcPr>
          <w:p>
            <w:r>
              <w:rPr>
                <w:rFonts w:ascii="Calibri" w:hAnsi="Calibri"/>
                <w:sz w:val="22"/>
              </w:rPr>
              <w:t>Day before Q2 earnings; OXY, DVN, EOG all beat Q2</w:t>
            </w:r>
          </w:p>
        </w:tc>
      </w:tr>
    </w:tbl>
    <w:p>
      <w:r>
        <w:rPr>
          <w:rFonts w:ascii="Calibri" w:hAnsi="Calibri"/>
          <w:b/>
          <w:color w:val="525866"/>
          <w:sz w:val="22"/>
        </w:rPr>
        <w:t xml:space="preserve">Note: </w:t>
      </w:r>
      <w:r>
        <w:rPr>
          <w:rFonts w:ascii="Calibri" w:hAnsi="Calibri"/>
          <w:i/>
          <w:color w:val="525866"/>
          <w:sz w:val="22"/>
        </w:rPr>
        <w:t>Indexed to 100 at April 30, 2026 close. COP: $125.78 → $117.94 (-8.5%); XLE: $59.65 → $58.52 (-1.9% adjusted for dividends, -3.9% price); SPY: $718.66 → $771.33 (+7.3%). Sector ETF: XLE (Energy Select Sector SPDR Fund) — appropriate benchmark for COP’s integrated E&amp;P sub-sector. The 1-month performance shows COP +6.1% with EV/EBITDA multiple expanding +14%, suggesting recent recovery is multiple-driven as oil prices rebounded. The 3-month picture shows COP -6.7% with EV/EBITDA contracting -2.5%, confirming that the stock’s underperformance vs. the market is a multiple compression story, not an earnings story.</w:t>
      </w:r>
    </w:p>
    <w:p>
      <w:r>
        <w:rPr>
          <w:rFonts w:ascii="Calibri" w:hAnsi="Calibri"/>
          <w:b/>
          <w:color w:val="525866"/>
          <w:sz w:val="22"/>
        </w:rPr>
        <w:t xml:space="preserve">Source: </w:t>
      </w:r>
      <w:r>
        <w:rPr>
          <w:rFonts w:ascii="Calibri" w:hAnsi="Calibri"/>
          <w:i/>
          <w:color w:val="525866"/>
          <w:sz w:val="22"/>
        </w:rPr>
        <w:t>Stock Price Data (Yahoo Finance). Stock Performance Decomposition (NTM EV/EBITDA multiples).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dominant development since Q1 earnings is the escalating Middle East conflict and Strait of Hormuz closure, which has simultaneously hurt COP’s Qatar production (~3% of total) and dramatically boosted oil and LNG price realizations — the net effect is strongly positive for cash generation and the LNG structural thesis.</w:t>
      </w:r>
    </w:p>
    <w:p>
      <w:pPr>
        <w:pStyle w:val="ListBullet"/>
        <w:ind w:left="360" w:hanging="360"/>
      </w:pPr>
      <w:r>
        <w:rPr>
          <w:rFonts w:ascii="Calibri" w:hAnsi="Calibri"/>
          <w:b/>
          <w:color w:val="525866"/>
          <w:sz w:val="22"/>
        </w:rPr>
        <w:t xml:space="preserve">Aug 5, 2026 — OXY reports Q2 2026 beat: </w:t>
      </w:r>
      <w:r>
        <w:rPr>
          <w:rFonts w:ascii="Calibri" w:hAnsi="Calibri"/>
          <w:color w:val="525866"/>
          <w:sz w:val="22"/>
        </w:rPr>
        <w:t>Occidental Petroleum reported adjusted EPS of $2.40 vs. $1.84 consensus, with realized oil price of $96.78/bbl vs. $63.76 a year earlier and production of 1.43 MMboepd. Strong read-through for COP’s own oil price realizations and production delivery in Q2.</w:t>
      </w:r>
    </w:p>
    <w:p>
      <w:pPr>
        <w:pStyle w:val="ListBullet"/>
        <w:ind w:left="360" w:hanging="360"/>
      </w:pPr>
      <w:r>
        <w:rPr>
          <w:rFonts w:ascii="Calibri" w:hAnsi="Calibri"/>
          <w:b/>
          <w:color w:val="525866"/>
          <w:sz w:val="22"/>
        </w:rPr>
        <w:t xml:space="preserve">Aug 4, 2026 — Devon Energy (DVN) Q2 beat; first post-Coterra merger results: </w:t>
      </w:r>
      <w:r>
        <w:rPr>
          <w:rFonts w:ascii="Calibri" w:hAnsi="Calibri"/>
          <w:color w:val="525866"/>
          <w:sz w:val="22"/>
        </w:rPr>
        <w:t>DVN reported adjusted EPS of $1.57 vs. $1.39 consensus; realized price $88.09/bbl vs. $62.97 a year earlier; production 1.36 MMboepd. Brent averaged $89.62/bbl in Q2 (+19.2% YoY). Confirms the oil price tailwind benefiting all unhedged E&amp;P operators including COP.</w:t>
      </w:r>
    </w:p>
    <w:p>
      <w:pPr>
        <w:pStyle w:val="ListBullet"/>
        <w:ind w:left="360" w:hanging="360"/>
      </w:pPr>
      <w:r>
        <w:rPr>
          <w:rFonts w:ascii="Calibri" w:hAnsi="Calibri"/>
          <w:b/>
          <w:color w:val="525866"/>
          <w:sz w:val="22"/>
        </w:rPr>
        <w:t xml:space="preserve">Aug 4, 2026 — EOG Resources Q2 2026 results and forecast issued: </w:t>
      </w:r>
      <w:r>
        <w:rPr>
          <w:rFonts w:ascii="Calibri" w:hAnsi="Calibri"/>
          <w:color w:val="525866"/>
          <w:sz w:val="22"/>
        </w:rPr>
        <w:t>EOG reported Q2 results and issued forward guidance. Positive read-through for Permian and Eagle Ford operations relevant to COP’s Lower 48 portfolio.</w:t>
      </w:r>
    </w:p>
    <w:p>
      <w:pPr>
        <w:pStyle w:val="ListBullet"/>
        <w:ind w:left="360" w:hanging="360"/>
      </w:pPr>
      <w:r>
        <w:rPr>
          <w:rFonts w:ascii="Calibri" w:hAnsi="Calibri"/>
          <w:b/>
          <w:color w:val="525866"/>
          <w:sz w:val="22"/>
        </w:rPr>
        <w:t xml:space="preserve">Aug 3, 2026 — Diamondback Energy (FANG) lifts production outlook: </w:t>
      </w:r>
      <w:r>
        <w:rPr>
          <w:rFonts w:ascii="Calibri" w:hAnsi="Calibri"/>
          <w:color w:val="525866"/>
          <w:sz w:val="22"/>
        </w:rPr>
        <w:t>FANG raised full-year oil production guidance to at least 522,000 bopd and total production to at least 1,000,000 boepd (from 972,000 prior). CEO Kaes Van’t Hof stated that “record draws from global inventories and the restocking required to rebuild global inventories have structurally raised the floor for oil prices.” Strong Permian read-through for COP’s Lower 48 operations.</w:t>
      </w:r>
    </w:p>
    <w:p>
      <w:pPr>
        <w:pStyle w:val="ListBullet"/>
        <w:ind w:left="360" w:hanging="360"/>
      </w:pPr>
      <w:r>
        <w:rPr>
          <w:rFonts w:ascii="Calibri" w:hAnsi="Calibri"/>
          <w:b/>
          <w:color w:val="525866"/>
          <w:sz w:val="22"/>
        </w:rPr>
        <w:t xml:space="preserve">Jul 31, 2026 — XOM Q2 2026 results: </w:t>
      </w:r>
      <w:r>
        <w:rPr>
          <w:rFonts w:ascii="Calibri" w:hAnsi="Calibri"/>
          <w:color w:val="525866"/>
          <w:sz w:val="22"/>
        </w:rPr>
        <w:t>ExxonMobil reported $14.5B in Q2 profit (highest since 2022), with adjusted EPS of $3.52 vs. $3.60 consensus (slight miss on “extreme swings” in commodity prices). Brent averaged $96.68/bbl in Q2 (+23% from Q1). ~450,000 bpd offline due to Qatar LNG disruption. XOM noted “continued inhibition for movement” in Strait of Hormuz even after conflict resolution. Confirms COP’s Qatar production impact and LNG market tightening thesis.</w:t>
      </w:r>
    </w:p>
    <w:p>
      <w:pPr>
        <w:pStyle w:val="ListBullet"/>
        <w:ind w:left="360" w:hanging="360"/>
      </w:pPr>
      <w:r>
        <w:rPr>
          <w:rFonts w:ascii="Calibri" w:hAnsi="Calibri"/>
          <w:b/>
          <w:color w:val="525866"/>
          <w:sz w:val="22"/>
        </w:rPr>
        <w:t xml:space="preserve">Jul 31, 2026 — CVX Q2 2026 results (record quarterly profit): </w:t>
      </w:r>
      <w:r>
        <w:rPr>
          <w:rFonts w:ascii="Calibri" w:hAnsi="Calibri"/>
          <w:color w:val="525866"/>
          <w:sz w:val="22"/>
        </w:rPr>
        <w:t>Chevron reported $12.1B in Q2 profit (largest quarterly net profit ever), with adjusted EPS of $6.06 vs. $5.65 consensus. Production rose 20% YoY. CVX noted European gas market is “exceptionally tight” and expects “some upward pressure on product pricing” into Q3. Confirms COP’s LNG structural tightening thesis and supports Port Arthur LNG valuation.</w:t>
      </w:r>
    </w:p>
    <w:p>
      <w:pPr>
        <w:pStyle w:val="ListBullet"/>
        <w:ind w:left="360" w:hanging="360"/>
      </w:pPr>
      <w:r>
        <w:rPr>
          <w:rFonts w:ascii="Calibri" w:hAnsi="Calibri"/>
          <w:b/>
          <w:color w:val="525866"/>
          <w:sz w:val="22"/>
        </w:rPr>
        <w:t xml:space="preserve">Jul 23, 2026 — Brent crude crosses $100/bbl: </w:t>
      </w:r>
      <w:r>
        <w:rPr>
          <w:rFonts w:ascii="Calibri" w:hAnsi="Calibri"/>
          <w:color w:val="525866"/>
          <w:sz w:val="22"/>
        </w:rPr>
        <w:t>Brent settled above $100/bbl for the first time since late May after Houthi strikes on two Saudi oil tankers in the Red Sea, opening a second chokepoint alongside Strait of Hormuz disruptions. Directly benefits COP’s unhedged oil and LNG realizations in Q2 and supports the 45% CFO return commitment.</w:t>
      </w:r>
    </w:p>
    <w:p>
      <w:pPr>
        <w:pStyle w:val="ListBullet"/>
        <w:ind w:left="360" w:hanging="360"/>
      </w:pPr>
      <w:r>
        <w:rPr>
          <w:rFonts w:ascii="Calibri" w:hAnsi="Calibri"/>
          <w:b/>
          <w:color w:val="525866"/>
          <w:sz w:val="22"/>
        </w:rPr>
        <w:t xml:space="preserve">Jul 27, 2026 — Baker Hughes (BKR) Q2 beat; raises LNG order guidance: </w:t>
      </w:r>
      <w:r>
        <w:rPr>
          <w:rFonts w:ascii="Calibri" w:hAnsi="Calibri"/>
          <w:color w:val="525866"/>
          <w:sz w:val="22"/>
        </w:rPr>
        <w:t>BKR reported EPS of $0.64 vs. $0.50 consensus; IET orders of $7.1B vs. $3.6B expected, including a major order from Venture Global for 12 LNG trains for CP2 expansion. Raised full-year IET order guidance through 2028. Positive read-through for LNG infrastructure demand and Port Arthur LNG Phase 1 construction progress.</w:t>
      </w:r>
    </w:p>
    <w:p>
      <w:pPr>
        <w:pStyle w:val="ListBullet"/>
        <w:ind w:left="360" w:hanging="360"/>
      </w:pPr>
      <w:r>
        <w:rPr>
          <w:rFonts w:ascii="Calibri" w:hAnsi="Calibri"/>
          <w:b/>
          <w:color w:val="525866"/>
          <w:sz w:val="22"/>
        </w:rPr>
        <w:t xml:space="preserve">Jul 22, 2026 — Kinder Morgan (KMI) Q2 beat on natural gas volumes: </w:t>
      </w:r>
      <w:r>
        <w:rPr>
          <w:rFonts w:ascii="Calibri" w:hAnsi="Calibri"/>
          <w:color w:val="525866"/>
          <w:sz w:val="22"/>
        </w:rPr>
        <w:t>KMI reported adjusted EPS of $0.37 vs. $0.32 consensus; transported 47,886 BBtu/day of natural gas (vs. 44,818 a year earlier), driven by Permian output growth, record LNG exports, and AI/data center demand. Positive read-through for COP’s Permian gas monetization and LNG offtake demand.</w:t>
      </w:r>
    </w:p>
    <w:p>
      <w:pPr>
        <w:pStyle w:val="ListBullet"/>
        <w:ind w:left="360" w:hanging="360"/>
      </w:pPr>
      <w:r>
        <w:rPr>
          <w:rFonts w:ascii="Calibri" w:hAnsi="Calibri"/>
          <w:b/>
          <w:color w:val="525866"/>
          <w:sz w:val="22"/>
        </w:rPr>
        <w:t xml:space="preserve">Jun 25, 2026 — COP announces Q2 2026 earnings call for August 6: </w:t>
      </w:r>
      <w:r>
        <w:rPr>
          <w:rFonts w:ascii="Calibri" w:hAnsi="Calibri"/>
          <w:color w:val="525866"/>
          <w:sz w:val="22"/>
        </w:rPr>
        <w:t>Press release confirms earnings call date and time (12:00 PM ET, August 6, 2026).</w:t>
      </w:r>
    </w:p>
    <w:p>
      <w:pPr>
        <w:pStyle w:val="ListBullet"/>
        <w:ind w:left="360" w:hanging="360"/>
      </w:pPr>
      <w:r>
        <w:rPr>
          <w:rFonts w:ascii="Calibri" w:hAnsi="Calibri"/>
          <w:b/>
          <w:color w:val="525866"/>
          <w:sz w:val="22"/>
        </w:rPr>
        <w:t xml:space="preserve">Jun 23, 2026 — Legal Chief Kelly Rose to retire (8-K): </w:t>
      </w:r>
      <w:r>
        <w:rPr>
          <w:rFonts w:ascii="Calibri" w:hAnsi="Calibri"/>
          <w:color w:val="525866"/>
          <w:sz w:val="22"/>
        </w:rPr>
        <w:t>ConocoPhillips disclosed that General Counsel Kelly Rose will retire. Routine leadership transition; no operational or financial implications flagged.</w:t>
      </w:r>
    </w:p>
    <w:p>
      <w:pPr>
        <w:pStyle w:val="ListBullet"/>
        <w:ind w:left="360" w:hanging="360"/>
      </w:pPr>
      <w:r>
        <w:rPr>
          <w:rFonts w:ascii="Calibri" w:hAnsi="Calibri"/>
          <w:b/>
          <w:color w:val="525866"/>
          <w:sz w:val="22"/>
        </w:rPr>
        <w:t xml:space="preserve">May 14, 2026 — Shareholders reject independent board chairman proposal (8-K): </w:t>
      </w:r>
      <w:r>
        <w:rPr>
          <w:rFonts w:ascii="Calibri" w:hAnsi="Calibri"/>
          <w:color w:val="525866"/>
          <w:sz w:val="22"/>
        </w:rPr>
        <w:t>Annual meeting; shareholders voted against a proposal to require an independent board chairman. No change to governance structure; management continuity confirmed.</w:t>
      </w:r>
    </w:p>
    <w:p>
      <w:pPr>
        <w:pStyle w:val="ListBullet"/>
        <w:ind w:left="360" w:hanging="360"/>
      </w:pPr>
      <w:r>
        <w:rPr>
          <w:rFonts w:ascii="Calibri" w:hAnsi="Calibri"/>
          <w:b/>
          <w:color w:val="525866"/>
          <w:sz w:val="22"/>
        </w:rPr>
        <w:t xml:space="preserve">Ongoing — Middle East conflict and Strait of Hormuz closure: </w:t>
      </w:r>
      <w:r>
        <w:rPr>
          <w:rFonts w:ascii="Calibri" w:hAnsi="Calibri"/>
          <w:color w:val="525866"/>
          <w:sz w:val="22"/>
        </w:rPr>
        <w:t xml:space="preserve">U.S.-Israeli strikes on Iran beginning February 28, 2026 have effectively closed the Strait of Hormuz, removing ~10 million bpd of global supply. Brent rose 24% in July alone. COP’s Qatar N3 asset (~80 MBOED run-rate, ~3% of total production and CFO) has been shut in. QatarEnergy disclosed two LNG trains struck (not COP’s), removing ~12 MTPA from the global LNG market with a multi-year impact. NFE/NFS construction continues with months of delay expected. Net effect: </w:t>
      </w:r>
      <w:r>
        <w:rPr>
          <w:rFonts w:ascii="Calibri" w:hAnsi="Calibri"/>
          <w:b/>
          <w:color w:val="525866"/>
          <w:sz w:val="22"/>
        </w:rPr>
        <w:t>negative on production volume, strongly positive on price realizations and LNG structural thesis.</w:t>
      </w:r>
    </w:p>
    <w:p>
      <w:pPr>
        <w:pStyle w:val="ListBullet"/>
        <w:ind w:left="360" w:hanging="360"/>
      </w:pPr>
      <w:r>
        <w:rPr>
          <w:rFonts w:ascii="Calibri" w:hAnsi="Calibri"/>
          <w:b/>
          <w:color w:val="525866"/>
          <w:sz w:val="22"/>
        </w:rPr>
        <w:t xml:space="preserve">Ongoing — Willow project at 50% completion: </w:t>
      </w:r>
      <w:r>
        <w:rPr>
          <w:rFonts w:ascii="Calibri" w:hAnsi="Calibri"/>
          <w:color w:val="525866"/>
          <w:sz w:val="22"/>
        </w:rPr>
        <w:t>Winter construction season completed successfully; gravel scope (roads, pads, airstrip) finished; process modules ~50% complete in fabrication; sea lift planned for summer 2027; early oil target of 2029 on track. Underpins $7B FCF inflection by 2029.</w:t>
      </w:r>
    </w:p>
    <w:p>
      <w:pPr>
        <w:pStyle w:val="ListBullet"/>
        <w:ind w:left="360" w:hanging="360"/>
      </w:pPr>
      <w:r>
        <w:rPr>
          <w:rFonts w:ascii="Calibri" w:hAnsi="Calibri"/>
          <w:b/>
          <w:color w:val="525866"/>
          <w:sz w:val="22"/>
        </w:rPr>
        <w:t xml:space="preserve">Ongoing — Equatorial Guinea LNG tolling agreement: </w:t>
      </w:r>
      <w:r>
        <w:rPr>
          <w:rFonts w:ascii="Calibri" w:hAnsi="Calibri"/>
          <w:color w:val="525866"/>
          <w:sz w:val="22"/>
        </w:rPr>
        <w:t>COP executed a third-party tolling agreement for EG LNG, extending facility life well into the 2030s. Supports long-term LNG monetization strategy and discovered gas resource commercialization in EG waters.</w:t>
      </w:r>
    </w:p>
    <w:p>
      <w:r>
        <w:br w:type="page"/>
      </w:r>
    </w:p>
    <w:p>
      <w:pPr>
        <w:pStyle w:val="Heading2"/>
      </w:pPr>
      <w:r>
        <w:rPr>
          <w:rFonts w:ascii="Calibri" w:hAnsi="Calibri"/>
          <w:b/>
          <w:color w:val="3B4259"/>
          <w:sz w:val="28"/>
        </w:rPr>
        <w:t>7. Peer Commentaries &amp; Current-Quarter Read-Through</w:t>
      </w:r>
    </w:p>
    <w:p>
      <w:r>
        <w:rPr>
          <w:rFonts w:ascii="Calibri" w:hAnsi="Calibri"/>
          <w:b/>
          <w:color w:val="525866"/>
          <w:sz w:val="22"/>
        </w:rPr>
        <w:t xml:space="preserve">Key Takeaway: </w:t>
      </w:r>
      <w:r>
        <w:rPr>
          <w:rFonts w:ascii="Calibri" w:hAnsi="Calibri"/>
          <w:color w:val="525866"/>
          <w:sz w:val="22"/>
        </w:rPr>
        <w:t>XOM, CVX, and FANG Q2 2026 earnings calls all provided explicitly forward-looking commentary on Q3 2026 and beyond that is directly relevant to COP’s setup — the consistent message is: oil price floor has structurally risen, LNG markets are exceptionally tight, refining margins will remain elevated, and Permian gas demand is accelerating via data centers and LNG exports.</w:t>
      </w:r>
    </w:p>
    <w:p>
      <w:r>
        <w:rPr>
          <w:rFonts w:ascii="Calibri" w:hAnsi="Calibri"/>
          <w:b/>
          <w:color w:val="525866"/>
          <w:sz w:val="22"/>
        </w:rPr>
        <w:t xml:space="preserve">Note: </w:t>
      </w:r>
      <w:r>
        <w:rPr>
          <w:rFonts w:ascii="Calibri" w:hAnsi="Calibri"/>
          <w:i/>
          <w:color w:val="525866"/>
          <w:sz w:val="22"/>
        </w:rPr>
        <w:t>All commentary below is drawn exclusively from Q2 2026 earnings calls (reported July–August 2026) and reflects forward-looking statements about Q3 2026 and beyond. This section excludes any prior-quarter commentary about prior-quarter results. Each read-through is explicitly distinguished from COP-specific facts.</w:t>
      </w:r>
    </w:p>
    <w:p>
      <w:pPr>
        <w:pStyle w:val="Heading3"/>
      </w:pPr>
      <w:r>
        <w:rPr>
          <w:rFonts w:ascii="Calibri" w:hAnsi="Calibri"/>
          <w:b/>
          <w:color w:val="3B4259"/>
          <w:sz w:val="24"/>
        </w:rPr>
        <w:t>ExxonMobil (XOM) — Q2 2026 Earnings Call (July 31, 2026)</w:t>
      </w:r>
    </w:p>
    <w:p>
      <w:r>
        <w:rPr>
          <w:rFonts w:ascii="Calibri" w:hAnsi="Calibri"/>
          <w:b/>
          <w:color w:val="525866"/>
          <w:sz w:val="22"/>
        </w:rPr>
        <w:t xml:space="preserve">Read-Through Relevance: </w:t>
      </w:r>
      <w:r>
        <w:rPr>
          <w:rFonts w:ascii="Calibri" w:hAnsi="Calibri"/>
          <w:color w:val="525866"/>
          <w:sz w:val="22"/>
        </w:rPr>
        <w:t>XOM is COP’s closest peer in scale and international diversification; XOM’s commentary on Strait of Hormuz, LNG markets, and Permian gas is directly applicable to COP’s Q3 2026 setup.</w:t>
      </w:r>
    </w:p>
    <w:p>
      <w:pPr>
        <w:pStyle w:val="ListBullet"/>
        <w:ind w:left="360" w:hanging="360"/>
      </w:pPr>
      <w:r>
        <w:rPr>
          <w:rFonts w:ascii="Calibri" w:hAnsi="Calibri"/>
          <w:b/>
          <w:color w:val="525866"/>
          <w:sz w:val="22"/>
        </w:rPr>
        <w:t xml:space="preserve">Strait of Hormuz: Continued inhibition expected. </w:t>
      </w:r>
      <w:r>
        <w:rPr>
          <w:rFonts w:ascii="Calibri" w:hAnsi="Calibri"/>
          <w:i/>
          <w:color w:val="525866"/>
          <w:sz w:val="22"/>
        </w:rPr>
        <w:t xml:space="preserve">XOM CEO Darren Woods stated he anticipates “a continued inhibition for movement” in the Strait of Hormuz even after conflict resolution, noting “it will take some time for folks to gain some confidence there, to continue to ramp things back up to a very high level.” </w:t>
      </w:r>
      <w:r>
        <w:rPr>
          <w:rFonts w:ascii="Calibri" w:hAnsi="Calibri"/>
          <w:b/>
          <w:color w:val="525866"/>
          <w:sz w:val="22"/>
        </w:rPr>
        <w:t xml:space="preserve">COP read-through: </w:t>
      </w:r>
      <w:r>
        <w:rPr>
          <w:rFonts w:ascii="Calibri" w:hAnsi="Calibri"/>
          <w:color w:val="525866"/>
          <w:sz w:val="22"/>
        </w:rPr>
        <w:t>Qatar production reinstatement is unlikely to be a Q3 2026 event even if a ceasefire is announced; the volume drag on COP’s production guidance likely persists through at least Q3 2026, but the price support from constrained supply also persists.</w:t>
      </w:r>
    </w:p>
    <w:p>
      <w:pPr>
        <w:pStyle w:val="ListBullet"/>
        <w:ind w:left="360" w:hanging="360"/>
      </w:pPr>
      <w:r>
        <w:rPr>
          <w:rFonts w:ascii="Calibri" w:hAnsi="Calibri"/>
          <w:b/>
          <w:color w:val="525866"/>
          <w:sz w:val="22"/>
        </w:rPr>
        <w:t xml:space="preserve">Qatar LNG repair timeline: XOM actively engaged. </w:t>
      </w:r>
      <w:r>
        <w:rPr>
          <w:rFonts w:ascii="Calibri" w:hAnsi="Calibri"/>
          <w:i/>
          <w:color w:val="525866"/>
          <w:sz w:val="22"/>
        </w:rPr>
        <w:t xml:space="preserve">XOM disclosed it is “in discussions with QatarEnergy about helping expedite the repairs” of the two struck LNG trains, believing it has “a particularly significant role” to play given its technical expertise. </w:t>
      </w:r>
      <w:r>
        <w:rPr>
          <w:rFonts w:ascii="Calibri" w:hAnsi="Calibri"/>
          <w:b/>
          <w:color w:val="525866"/>
          <w:sz w:val="22"/>
        </w:rPr>
        <w:t xml:space="preserve">COP read-through: </w:t>
      </w:r>
      <w:r>
        <w:rPr>
          <w:rFonts w:ascii="Calibri" w:hAnsi="Calibri"/>
          <w:color w:val="525866"/>
          <w:sz w:val="22"/>
        </w:rPr>
        <w:t>The QE-disclosed multi-year impact on ~12 MTPA of LNG supply is a structural tailwind for COP’s Port Arthur LNG Phase 1 (first LNG 2027) and EG LNG assets, which are priced off Brent and JKM. XOM’s engagement in repairs is a positive signal for eventual Qatar production restoration, but the timeline remains measured in years for the struck trains.</w:t>
      </w:r>
    </w:p>
    <w:p>
      <w:pPr>
        <w:pStyle w:val="ListBullet"/>
        <w:ind w:left="360" w:hanging="360"/>
      </w:pPr>
      <w:r>
        <w:rPr>
          <w:rFonts w:ascii="Calibri" w:hAnsi="Calibri"/>
          <w:b/>
          <w:color w:val="525866"/>
          <w:sz w:val="22"/>
        </w:rPr>
        <w:t xml:space="preserve">Refining margins: Robust market expected to continue. </w:t>
      </w:r>
      <w:r>
        <w:rPr>
          <w:rFonts w:ascii="Calibri" w:hAnsi="Calibri"/>
          <w:i/>
          <w:color w:val="525866"/>
          <w:sz w:val="22"/>
        </w:rPr>
        <w:t xml:space="preserve">XOM CEO stated he expects “a very robust refining market with very high margins” to continue, citing ~3 million bpd of refining capacity offline from Strait closures, China stopping exports, and ~1 million bpd of Russian capacity taken out by Ukraine. </w:t>
      </w:r>
      <w:r>
        <w:rPr>
          <w:rFonts w:ascii="Calibri" w:hAnsi="Calibri"/>
          <w:b/>
          <w:color w:val="525866"/>
          <w:sz w:val="22"/>
        </w:rPr>
        <w:t xml:space="preserve">COP read-through: </w:t>
      </w:r>
      <w:r>
        <w:rPr>
          <w:rFonts w:ascii="Calibri" w:hAnsi="Calibri"/>
          <w:color w:val="525866"/>
          <w:sz w:val="22"/>
        </w:rPr>
        <w:t>COP is a pure upstream E&amp;P with no refining exposure, but sustained high refining margins support strong crude demand and price realizations for COP’s unhedged oil production.</w:t>
      </w:r>
    </w:p>
    <w:p>
      <w:pPr>
        <w:pStyle w:val="ListBullet"/>
        <w:ind w:left="360" w:hanging="360"/>
      </w:pPr>
      <w:r>
        <w:rPr>
          <w:rFonts w:ascii="Calibri" w:hAnsi="Calibri"/>
          <w:b/>
          <w:color w:val="525866"/>
          <w:sz w:val="22"/>
        </w:rPr>
        <w:t xml:space="preserve">LNG FIDs planned for H2 2026: Mozambique and Papua New Guinea. </w:t>
      </w:r>
      <w:r>
        <w:rPr>
          <w:rFonts w:ascii="Calibri" w:hAnsi="Calibri"/>
          <w:i/>
          <w:color w:val="525866"/>
          <w:sz w:val="22"/>
        </w:rPr>
        <w:t xml:space="preserve">XOM stated it plans to make FIDs for LNG projects in Mozambique and Papua New Guinea “later this year,” and noted Golden Pass is “coming on.” XOM stated it “won’t shy away from the region” for future LNG opportunities. </w:t>
      </w:r>
      <w:r>
        <w:rPr>
          <w:rFonts w:ascii="Calibri" w:hAnsi="Calibri"/>
          <w:b/>
          <w:color w:val="525866"/>
          <w:sz w:val="22"/>
        </w:rPr>
        <w:t xml:space="preserve">COP read-through: </w:t>
      </w:r>
      <w:r>
        <w:rPr>
          <w:rFonts w:ascii="Calibri" w:hAnsi="Calibri"/>
          <w:color w:val="525866"/>
          <w:sz w:val="22"/>
        </w:rPr>
        <w:t>Confirms the industry-wide view that LNG supply additions are years away from offsetting the Qatar disruption; supports COP’s thesis that Port Arthur Phase 1 (2027 first LNG) will enter a structurally tight market.</w:t>
      </w:r>
    </w:p>
    <w:p>
      <w:pPr>
        <w:pStyle w:val="ListBullet"/>
        <w:ind w:left="360" w:hanging="360"/>
      </w:pPr>
      <w:r>
        <w:rPr>
          <w:rFonts w:ascii="Calibri" w:hAnsi="Calibri"/>
          <w:b/>
          <w:color w:val="525866"/>
          <w:sz w:val="22"/>
        </w:rPr>
        <w:t xml:space="preserve">Permian gas: Unconstrained takeaway capacity coming. </w:t>
      </w:r>
      <w:r>
        <w:rPr>
          <w:rFonts w:ascii="Calibri" w:hAnsi="Calibri"/>
          <w:i/>
          <w:color w:val="525866"/>
          <w:sz w:val="22"/>
        </w:rPr>
        <w:t xml:space="preserve">XOM noted “many gas pipelines coming on in the Permian starting now,” expecting “unconstrained takeaway capacity” to maximize oil production and “may see some additional gas come onto the marketplace.” </w:t>
      </w:r>
      <w:r>
        <w:rPr>
          <w:rFonts w:ascii="Calibri" w:hAnsi="Calibri"/>
          <w:b/>
          <w:color w:val="525866"/>
          <w:sz w:val="22"/>
        </w:rPr>
        <w:t xml:space="preserve">COP read-through: </w:t>
      </w:r>
      <w:r>
        <w:rPr>
          <w:rFonts w:ascii="Calibri" w:hAnsi="Calibri"/>
          <w:color w:val="525866"/>
          <w:sz w:val="22"/>
        </w:rPr>
        <w:t>Positive for COP’s Permian gas monetization; reduced basis differentials and improved Waha pricing (confirmed by FANG) benefit COP’s Lower 48 gas realizations in Q3 2026.</w:t>
      </w:r>
    </w:p>
    <w:p>
      <w:pPr>
        <w:pStyle w:val="ListBullet"/>
        <w:ind w:left="360" w:hanging="360"/>
      </w:pPr>
      <w:r>
        <w:rPr>
          <w:rFonts w:ascii="Calibri" w:hAnsi="Calibri"/>
          <w:b/>
          <w:color w:val="525866"/>
          <w:sz w:val="22"/>
        </w:rPr>
        <w:t xml:space="preserve">Guyana cost recovery inflection: Free cash flow step-up. </w:t>
      </w:r>
      <w:r>
        <w:rPr>
          <w:rFonts w:ascii="Calibri" w:hAnsi="Calibri"/>
          <w:i/>
          <w:color w:val="525866"/>
          <w:sz w:val="22"/>
        </w:rPr>
        <w:t xml:space="preserve">XOM disclosed it has recovered its Guyana capital and costs “nearly two years earlier than anticipated,” creating an “inflection into free cash flow” as revenues shift from cost recovery to FCF. </w:t>
      </w:r>
      <w:r>
        <w:rPr>
          <w:rFonts w:ascii="Calibri" w:hAnsi="Calibri"/>
          <w:b/>
          <w:color w:val="525866"/>
          <w:sz w:val="22"/>
        </w:rPr>
        <w:t xml:space="preserve">COP read-through: </w:t>
      </w:r>
      <w:r>
        <w:rPr>
          <w:rFonts w:ascii="Calibri" w:hAnsi="Calibri"/>
          <w:color w:val="525866"/>
          <w:sz w:val="22"/>
        </w:rPr>
        <w:t>Not directly applicable (COP has no Guyana exposure), but illustrates the industry dynamic of major project FCF inflections — analogous to COP’s own Willow FCF inflection thesis for 2029.</w:t>
      </w:r>
    </w:p>
    <w:p>
      <w:pPr>
        <w:pStyle w:val="Heading3"/>
      </w:pPr>
      <w:r>
        <w:rPr>
          <w:rFonts w:ascii="Calibri" w:hAnsi="Calibri"/>
          <w:b/>
          <w:color w:val="3B4259"/>
          <w:sz w:val="24"/>
        </w:rPr>
        <w:t>Chevron (CVX) — Q2 2026 Earnings Call (July 31, 2026)</w:t>
      </w:r>
    </w:p>
    <w:p>
      <w:r>
        <w:rPr>
          <w:rFonts w:ascii="Calibri" w:hAnsi="Calibri"/>
          <w:b/>
          <w:color w:val="525866"/>
          <w:sz w:val="22"/>
        </w:rPr>
        <w:t xml:space="preserve">Read-Through Relevance: </w:t>
      </w:r>
      <w:r>
        <w:rPr>
          <w:rFonts w:ascii="Calibri" w:hAnsi="Calibri"/>
          <w:color w:val="525866"/>
          <w:sz w:val="22"/>
        </w:rPr>
        <w:t>CVX’s commentary on LNG market tightness, Permian capital efficiency, and commodity price outlook is directly applicable to COP’s Q3 2026 setup given overlapping asset geographies and LNG exposure.</w:t>
      </w:r>
    </w:p>
    <w:p>
      <w:pPr>
        <w:pStyle w:val="ListBullet"/>
        <w:ind w:left="360" w:hanging="360"/>
      </w:pPr>
      <w:r>
        <w:rPr>
          <w:rFonts w:ascii="Calibri" w:hAnsi="Calibri"/>
          <w:b/>
          <w:color w:val="525866"/>
          <w:sz w:val="22"/>
        </w:rPr>
        <w:t xml:space="preserve">European LNG market “exceptionally tight”; Asian spot markets “very strong.” </w:t>
      </w:r>
      <w:r>
        <w:rPr>
          <w:rFonts w:ascii="Calibri" w:hAnsi="Calibri"/>
          <w:i/>
          <w:color w:val="525866"/>
          <w:sz w:val="22"/>
        </w:rPr>
        <w:t xml:space="preserve">CVX management stated the European gas market is “exceptionally tight right now” and that “JKM and TTF both have been firming” with demand in “both North Asia and Europe likely to continue to be pretty strong here over this next period of time.” CVX also noted it has “4 million tons per annum that will come in over the next few years” from North American LNG, “primarily going into Europe.” </w:t>
      </w:r>
      <w:r>
        <w:rPr>
          <w:rFonts w:ascii="Calibri" w:hAnsi="Calibri"/>
          <w:b/>
          <w:color w:val="525866"/>
          <w:sz w:val="22"/>
        </w:rPr>
        <w:t xml:space="preserve">COP read-through: </w:t>
      </w:r>
      <w:r>
        <w:rPr>
          <w:rFonts w:ascii="Calibri" w:hAnsi="Calibri"/>
          <w:color w:val="525866"/>
          <w:sz w:val="22"/>
        </w:rPr>
        <w:t>Directly validates COP’s LNG structural tightening thesis. COP’s EG LNG (priced off Brent/spot) and Port Arthur Phase 1 (first LNG 2027, predominantly placed into Europe and Asia) are positioned to benefit from exactly this market dynamic. Management’s comment on intensifying interest in uncommitted Port Arthur volumes is consistent with CVX’s market characterization.</w:t>
      </w:r>
    </w:p>
    <w:p>
      <w:pPr>
        <w:pStyle w:val="ListBullet"/>
        <w:ind w:left="360" w:hanging="360"/>
      </w:pPr>
      <w:r>
        <w:rPr>
          <w:rFonts w:ascii="Calibri" w:hAnsi="Calibri"/>
          <w:b/>
          <w:color w:val="525866"/>
          <w:sz w:val="22"/>
        </w:rPr>
        <w:t xml:space="preserve">Middle distillates “really the tight spot”; upward pressure on product pricing into Q3. </w:t>
      </w:r>
      <w:r>
        <w:rPr>
          <w:rFonts w:ascii="Calibri" w:hAnsi="Calibri"/>
          <w:i/>
          <w:color w:val="525866"/>
          <w:sz w:val="22"/>
        </w:rPr>
        <w:t xml:space="preserve">CVX stated “middle distillates are really the tight spot right now — initially it looked like jet, now diesel” and anticipated “some upward pressure on product pricing here into the third quarter and perhaps beyond.” CVX also noted “demand destruction is not obvious to me at any significant scale.” </w:t>
      </w:r>
      <w:r>
        <w:rPr>
          <w:rFonts w:ascii="Calibri" w:hAnsi="Calibri"/>
          <w:b/>
          <w:color w:val="525866"/>
          <w:sz w:val="22"/>
        </w:rPr>
        <w:t xml:space="preserve">COP read-through: </w:t>
      </w:r>
      <w:r>
        <w:rPr>
          <w:rFonts w:ascii="Calibri" w:hAnsi="Calibri"/>
          <w:color w:val="525866"/>
          <w:sz w:val="22"/>
        </w:rPr>
        <w:t>Sustained product crack strength supports crude demand and price realizations for COP’s unhedged oil production in Q3 2026. No demand destruction signal is a positive for COP’s volume assumptions.</w:t>
      </w:r>
    </w:p>
    <w:p>
      <w:pPr>
        <w:pStyle w:val="ListBullet"/>
        <w:ind w:left="360" w:hanging="360"/>
      </w:pPr>
      <w:r>
        <w:rPr>
          <w:rFonts w:ascii="Calibri" w:hAnsi="Calibri"/>
          <w:b/>
          <w:color w:val="525866"/>
          <w:sz w:val="22"/>
        </w:rPr>
        <w:t xml:space="preserve">Brent price expected higher for full year; affiliate distributions to exceed $6B guidance. </w:t>
      </w:r>
      <w:r>
        <w:rPr>
          <w:rFonts w:ascii="Calibri" w:hAnsi="Calibri"/>
          <w:i/>
          <w:color w:val="525866"/>
          <w:sz w:val="22"/>
        </w:rPr>
        <w:t xml:space="preserve">CVX management affirmed “we’re likely to have a higher number for Brent this year, which would translate into even higher affiliate distributions” vs. the $6B guidance at $70 Brent. </w:t>
      </w:r>
      <w:r>
        <w:rPr>
          <w:rFonts w:ascii="Calibri" w:hAnsi="Calibri"/>
          <w:b/>
          <w:color w:val="525866"/>
          <w:sz w:val="22"/>
        </w:rPr>
        <w:t xml:space="preserve">COP read-through: </w:t>
      </w:r>
      <w:r>
        <w:rPr>
          <w:rFonts w:ascii="Calibri" w:hAnsi="Calibri"/>
          <w:color w:val="525866"/>
          <w:sz w:val="22"/>
        </w:rPr>
        <w:t>Directly supports COP’s 45% CFO return commitment — higher Brent translates to higher CFO and higher absolute capital returns. COP’s unhedged positioning means it captures the full benefit of any Brent upside.</w:t>
      </w:r>
    </w:p>
    <w:p>
      <w:pPr>
        <w:pStyle w:val="ListBullet"/>
        <w:ind w:left="360" w:hanging="360"/>
      </w:pPr>
      <w:r>
        <w:rPr>
          <w:rFonts w:ascii="Calibri" w:hAnsi="Calibri"/>
          <w:b/>
          <w:color w:val="525866"/>
          <w:sz w:val="22"/>
        </w:rPr>
        <w:t xml:space="preserve">Permian capital efficiency: 25% improvement; CapEx below $3.5B. </w:t>
      </w:r>
      <w:r>
        <w:rPr>
          <w:rFonts w:ascii="Calibri" w:hAnsi="Calibri"/>
          <w:i/>
          <w:color w:val="525866"/>
          <w:sz w:val="22"/>
        </w:rPr>
        <w:t xml:space="preserve">CVX stated Permian capital is expected to be “below $3.5 billion this year,” representing a “25% improvement in capital efficiency.” CVX also achieved $3B of structural cost reductions over the past 12 months, reaching its target six months ahead of schedule, with “more than 70% of savings from efficiency gains.” </w:t>
      </w:r>
      <w:r>
        <w:rPr>
          <w:rFonts w:ascii="Calibri" w:hAnsi="Calibri"/>
          <w:b/>
          <w:color w:val="525866"/>
          <w:sz w:val="22"/>
        </w:rPr>
        <w:t xml:space="preserve">COP read-through: </w:t>
      </w:r>
      <w:r>
        <w:rPr>
          <w:rFonts w:ascii="Calibri" w:hAnsi="Calibri"/>
          <w:color w:val="525866"/>
          <w:sz w:val="22"/>
        </w:rPr>
        <w:t>Sets a benchmark for Permian capital efficiency that COP’s own incremental Permian rig addition (Delaware basin, operated + non-operated) will be measured against. COP’s own $1B cost reduction program (targeting full run-rate by year-end) is consistent with this industry-wide efficiency trend.</w:t>
      </w:r>
    </w:p>
    <w:p>
      <w:pPr>
        <w:pStyle w:val="ListBullet"/>
        <w:ind w:left="360" w:hanging="360"/>
      </w:pPr>
      <w:r>
        <w:rPr>
          <w:rFonts w:ascii="Calibri" w:hAnsi="Calibri"/>
          <w:b/>
          <w:color w:val="525866"/>
          <w:sz w:val="22"/>
        </w:rPr>
        <w:t xml:space="preserve">TCO third SPM available in Q3; total field capacity above 1 MMbopd. </w:t>
      </w:r>
      <w:r>
        <w:rPr>
          <w:rFonts w:ascii="Calibri" w:hAnsi="Calibri"/>
          <w:i/>
          <w:color w:val="525866"/>
          <w:sz w:val="22"/>
        </w:rPr>
        <w:t xml:space="preserve">CVX confirmed the third Single Point Mooring at the CPC pipeline “will be open in the third quarter, so all three available later in Q3,” and that TCO nameplate capacity has been increased to 320,000 bopd (from 260,000), taking total field processing capacity “slightly above 1 million bopd.” </w:t>
      </w:r>
      <w:r>
        <w:rPr>
          <w:rFonts w:ascii="Calibri" w:hAnsi="Calibri"/>
          <w:b/>
          <w:color w:val="525866"/>
          <w:sz w:val="22"/>
        </w:rPr>
        <w:t xml:space="preserve">COP read-through: </w:t>
      </w:r>
      <w:r>
        <w:rPr>
          <w:rFonts w:ascii="Calibri" w:hAnsi="Calibri"/>
          <w:color w:val="525866"/>
          <w:sz w:val="22"/>
        </w:rPr>
        <w:t>Not directly applicable (COP has no TCO/Kazakhstan exposure), but the CPC pipeline restoration is a global supply addition that could modestly weigh on Brent prices at the margin in Q3 2026.</w:t>
      </w:r>
    </w:p>
    <w:p>
      <w:pPr>
        <w:pStyle w:val="ListBullet"/>
        <w:ind w:left="360" w:hanging="360"/>
      </w:pPr>
      <w:r>
        <w:rPr>
          <w:rFonts w:ascii="Calibri" w:hAnsi="Calibri"/>
          <w:b/>
          <w:color w:val="525866"/>
          <w:sz w:val="22"/>
        </w:rPr>
        <w:t xml:space="preserve">Iraq discussions advancing; Argentina framework offers 30-year fiscal stability. </w:t>
      </w:r>
      <w:r>
        <w:rPr>
          <w:rFonts w:ascii="Calibri" w:hAnsi="Calibri"/>
          <w:i/>
          <w:color w:val="525866"/>
          <w:sz w:val="22"/>
        </w:rPr>
        <w:t xml:space="preserve">CVX signed “follow-on agreements that significantly advance commercial discussions” at West Qurna 2 and Nasiriya in Iraq, and noted Argentina’s new framework offers “30 years of fiscal stability” and accelerated depreciation incentives. </w:t>
      </w:r>
      <w:r>
        <w:rPr>
          <w:rFonts w:ascii="Calibri" w:hAnsi="Calibri"/>
          <w:b/>
          <w:color w:val="525866"/>
          <w:sz w:val="22"/>
        </w:rPr>
        <w:t xml:space="preserve">COP read-through: </w:t>
      </w:r>
      <w:r>
        <w:rPr>
          <w:rFonts w:ascii="Calibri" w:hAnsi="Calibri"/>
          <w:color w:val="525866"/>
          <w:sz w:val="22"/>
        </w:rPr>
        <w:t>Illustrates the competitive landscape for international E&amp;P capital allocation; COP’s own international portfolio (Norway, Malaysia, Australia, EG) competes for capital against these opportunities. No direct operational overlap.</w:t>
      </w:r>
    </w:p>
    <w:p>
      <w:pPr>
        <w:pStyle w:val="Heading3"/>
      </w:pPr>
      <w:r>
        <w:rPr>
          <w:rFonts w:ascii="Calibri" w:hAnsi="Calibri"/>
          <w:b/>
          <w:color w:val="3B4259"/>
          <w:sz w:val="24"/>
        </w:rPr>
        <w:t>Diamondback Energy (FANG) — Q2 2026 Earnings Call (August 4, 2026)</w:t>
      </w:r>
    </w:p>
    <w:p>
      <w:r>
        <w:rPr>
          <w:rFonts w:ascii="Calibri" w:hAnsi="Calibri"/>
          <w:b/>
          <w:color w:val="525866"/>
          <w:sz w:val="22"/>
        </w:rPr>
        <w:t xml:space="preserve">Read-Through Relevance: </w:t>
      </w:r>
      <w:r>
        <w:rPr>
          <w:rFonts w:ascii="Calibri" w:hAnsi="Calibri"/>
          <w:color w:val="525866"/>
          <w:sz w:val="22"/>
        </w:rPr>
        <w:t>FANG is the most directly comparable Permian pure-play peer; its commentary on Permian gas pricing, cost inflation, production guidance, and the data center/power demand theme is the most operationally relevant read-through for COP’s Lower 48 business.</w:t>
      </w:r>
    </w:p>
    <w:p>
      <w:pPr>
        <w:pStyle w:val="ListBullet"/>
        <w:ind w:left="360" w:hanging="360"/>
      </w:pPr>
      <w:r>
        <w:rPr>
          <w:rFonts w:ascii="Calibri" w:hAnsi="Calibri"/>
          <w:b/>
          <w:color w:val="525866"/>
          <w:sz w:val="22"/>
        </w:rPr>
        <w:t xml:space="preserve">Global inventory draws require refilling; structural floor for oil prices raised. </w:t>
      </w:r>
      <w:r>
        <w:rPr>
          <w:rFonts w:ascii="Calibri" w:hAnsi="Calibri"/>
          <w:i/>
          <w:color w:val="525866"/>
          <w:sz w:val="22"/>
        </w:rPr>
        <w:t xml:space="preserve">FANG CEO Kaes Van’t Hof stated that “record draws from global inventories and the restocking required to rebuild global inventories have structurally raised the floor for oil prices compared to pre-conflict prices,” though he cautioned that “the timing of the eventual supply normalization is impossible to predict.” He added: “our bet is that these global inventories, including SPR, are going to need to be refilled and that should be a positive for Diamondback shareholders and Diamondback’s growth trajectory.” </w:t>
      </w:r>
      <w:r>
        <w:rPr>
          <w:rFonts w:ascii="Calibri" w:hAnsi="Calibri"/>
          <w:b/>
          <w:color w:val="525866"/>
          <w:sz w:val="22"/>
        </w:rPr>
        <w:t xml:space="preserve">COP read-through: </w:t>
      </w:r>
      <w:r>
        <w:rPr>
          <w:rFonts w:ascii="Calibri" w:hAnsi="Calibri"/>
          <w:color w:val="525866"/>
          <w:sz w:val="22"/>
        </w:rPr>
        <w:t>Directly validates COP management’s Q1 2026 call commentary that “the floor probably is going to have to raise up a little bit” from the prior $65 WTI mid-cycle assumption. Supports COP’s unhedged positioning and 45% CFO return commitment at higher price levels.</w:t>
      </w:r>
    </w:p>
    <w:p>
      <w:pPr>
        <w:pStyle w:val="ListBullet"/>
        <w:ind w:left="360" w:hanging="360"/>
      </w:pPr>
      <w:r>
        <w:rPr>
          <w:rFonts w:ascii="Calibri" w:hAnsi="Calibri"/>
          <w:b/>
          <w:color w:val="525866"/>
          <w:sz w:val="22"/>
        </w:rPr>
        <w:t xml:space="preserve">Waha gas prices positive for all of July; Permian gas “mega theme.” </w:t>
      </w:r>
      <w:r>
        <w:rPr>
          <w:rFonts w:ascii="Calibri" w:hAnsi="Calibri"/>
          <w:i/>
          <w:color w:val="525866"/>
          <w:sz w:val="22"/>
        </w:rPr>
        <w:t xml:space="preserve">FANG noted “Waha has firmed up a little bit, being positive for the whole month of July, and certainly a nice tailwind for us and for our shareholders in the near term.” FANG stated it “believes in the gas mega theme” and that “the Permian is going to play a big role” in meeting LNG demand. </w:t>
      </w:r>
      <w:r>
        <w:rPr>
          <w:rFonts w:ascii="Calibri" w:hAnsi="Calibri"/>
          <w:b/>
          <w:color w:val="525866"/>
          <w:sz w:val="22"/>
        </w:rPr>
        <w:t xml:space="preserve">COP read-through: </w:t>
      </w:r>
      <w:r>
        <w:rPr>
          <w:rFonts w:ascii="Calibri" w:hAnsi="Calibri"/>
          <w:color w:val="525866"/>
          <w:sz w:val="22"/>
        </w:rPr>
        <w:t>Positive Waha pricing in July is a direct Q3 2026 tailwind for COP’s Permian gas realizations. COP’s significant Lower 48 gas production (Eagle Ford, Permian, Bakken) benefits from improved basin-level gas pricing.</w:t>
      </w:r>
    </w:p>
    <w:p>
      <w:pPr>
        <w:pStyle w:val="ListBullet"/>
        <w:ind w:left="360" w:hanging="360"/>
      </w:pPr>
      <w:r>
        <w:rPr>
          <w:rFonts w:ascii="Calibri" w:hAnsi="Calibri"/>
          <w:b/>
          <w:color w:val="525866"/>
          <w:sz w:val="22"/>
        </w:rPr>
        <w:t xml:space="preserve">Data center power demand: New in-basin gas egress solution. </w:t>
      </w:r>
      <w:r>
        <w:rPr>
          <w:rFonts w:ascii="Calibri" w:hAnsi="Calibri"/>
          <w:i/>
          <w:color w:val="525866"/>
          <w:sz w:val="22"/>
        </w:rPr>
        <w:t xml:space="preserve">FANG disclosed a “bridge to grid solution” at its 3,000-acre Bryant Ranch location near Midland, Texas, setting aside “200–250 MMcf/day” for the project, with “first gas as soon as the back half of 2027” and “grid-connected power as soon as 2028.” FANG stated the “biggest driver for us is just having a new in-basin egress solution for nat gas.” </w:t>
      </w:r>
      <w:r>
        <w:rPr>
          <w:rFonts w:ascii="Calibri" w:hAnsi="Calibri"/>
          <w:b/>
          <w:color w:val="525866"/>
          <w:sz w:val="22"/>
        </w:rPr>
        <w:t xml:space="preserve">COP read-through: </w:t>
      </w:r>
      <w:r>
        <w:rPr>
          <w:rFonts w:ascii="Calibri" w:hAnsi="Calibri"/>
          <w:color w:val="525866"/>
          <w:sz w:val="22"/>
        </w:rPr>
        <w:t>Emerging data center power demand in the Permian creates a new, localized demand sink for Permian gas that could structurally improve Waha basis differentials and benefit all Permian gas producers including COP. This is an incremental positive for COP’s Lower 48 gas realizations over the 2027–2028 timeframe.</w:t>
      </w:r>
    </w:p>
    <w:p>
      <w:pPr>
        <w:pStyle w:val="ListBullet"/>
        <w:ind w:left="360" w:hanging="360"/>
      </w:pPr>
      <w:r>
        <w:rPr>
          <w:rFonts w:ascii="Calibri" w:hAnsi="Calibri"/>
          <w:b/>
          <w:color w:val="525866"/>
          <w:sz w:val="22"/>
        </w:rPr>
        <w:t xml:space="preserve">Cost inflation: Casing prices rising in H2 2026; ~1% of total well cost. </w:t>
      </w:r>
      <w:r>
        <w:rPr>
          <w:rFonts w:ascii="Calibri" w:hAnsi="Calibri"/>
          <w:i/>
          <w:color w:val="525866"/>
          <w:sz w:val="22"/>
        </w:rPr>
        <w:t xml:space="preserve">FANG observed “casing prices in the back half of the year going to come up,” estimating “about 1%, a little over 1% of our total well cost, in inflation,” which they believe they “can offset with efficiency gains.” LOE expected to remain in the “$6 range or a little higher” with inflation on “power, water, and tubulars” flowing through. </w:t>
      </w:r>
      <w:r>
        <w:rPr>
          <w:rFonts w:ascii="Calibri" w:hAnsi="Calibri"/>
          <w:b/>
          <w:color w:val="525866"/>
          <w:sz w:val="22"/>
        </w:rPr>
        <w:t xml:space="preserve">COP read-through: </w:t>
      </w:r>
      <w:r>
        <w:rPr>
          <w:rFonts w:ascii="Calibri" w:hAnsi="Calibri"/>
          <w:color w:val="525866"/>
          <w:sz w:val="22"/>
        </w:rPr>
        <w:t>Modest cost inflation in the Permian is a sector-wide headwind that COP will also face in its Lower 48 operations. COP’s $1B cost reduction program (targeting full run-rate by year-end) provides a company-specific offset, but investors should watch for any operating cost guidance revision on the Q2 call.</w:t>
      </w:r>
    </w:p>
    <w:p>
      <w:pPr>
        <w:pStyle w:val="ListBullet"/>
        <w:ind w:left="360" w:hanging="360"/>
      </w:pPr>
      <w:r>
        <w:rPr>
          <w:rFonts w:ascii="Calibri" w:hAnsi="Calibri"/>
          <w:b/>
          <w:color w:val="525866"/>
          <w:sz w:val="22"/>
        </w:rPr>
        <w:t xml:space="preserve">Production guidance raised; low single-digit organic growth expected in 2027. </w:t>
      </w:r>
      <w:r>
        <w:rPr>
          <w:rFonts w:ascii="Calibri" w:hAnsi="Calibri"/>
          <w:i/>
          <w:color w:val="525866"/>
          <w:sz w:val="22"/>
        </w:rPr>
        <w:t xml:space="preserve">FANG raised full-year oil production guidance to at least 522,000 bopd and total production to at least 1,000,000 boepd (from 972,000 prior), with 2027 model projecting “low single-digit organic growth while maintaining capital efficiency and running five frac crews consistently.” </w:t>
      </w:r>
      <w:r>
        <w:rPr>
          <w:rFonts w:ascii="Calibri" w:hAnsi="Calibri"/>
          <w:b/>
          <w:color w:val="525866"/>
          <w:sz w:val="22"/>
        </w:rPr>
        <w:t xml:space="preserve">COP read-through: </w:t>
      </w:r>
      <w:r>
        <w:rPr>
          <w:rFonts w:ascii="Calibri" w:hAnsi="Calibri"/>
          <w:color w:val="525866"/>
          <w:sz w:val="22"/>
        </w:rPr>
        <w:t>FANG’s production raise is consistent with the broader Permian outperformance trend. COP’s own Q2 production guidance (2,185–2,215 MBOED, excl. Qatar) is anchored to the Permian’s continued delivery; any upside from Lower 48 efficiency gains could provide a modest production beat.</w:t>
      </w:r>
    </w:p>
    <w:p>
      <w:pPr>
        <w:pStyle w:val="ListBullet"/>
        <w:ind w:left="360" w:hanging="360"/>
      </w:pPr>
      <w:r>
        <w:rPr>
          <w:rFonts w:ascii="Calibri" w:hAnsi="Calibri"/>
          <w:b/>
          <w:color w:val="525866"/>
          <w:sz w:val="22"/>
        </w:rPr>
        <w:t xml:space="preserve">Enhanced oil recovery (EOR): 12-well project with “very positive” initial results. </w:t>
      </w:r>
      <w:r>
        <w:rPr>
          <w:rFonts w:ascii="Calibri" w:hAnsi="Calibri"/>
          <w:i/>
          <w:color w:val="525866"/>
          <w:sz w:val="22"/>
        </w:rPr>
        <w:t xml:space="preserve">FANG executed a 12-well EOR project in Q2 with “very positive” initial results, applying learnings to “the next group of wells in Q3.” FANG described enhanced recovery as “a mega theme” for the Permian over the next decade. </w:t>
      </w:r>
      <w:r>
        <w:rPr>
          <w:rFonts w:ascii="Calibri" w:hAnsi="Calibri"/>
          <w:b/>
          <w:color w:val="525866"/>
          <w:sz w:val="22"/>
        </w:rPr>
        <w:t xml:space="preserve">COP read-through: </w:t>
      </w:r>
      <w:r>
        <w:rPr>
          <w:rFonts w:ascii="Calibri" w:hAnsi="Calibri"/>
          <w:color w:val="525866"/>
          <w:sz w:val="22"/>
        </w:rPr>
        <w:t>COP’s Permian inventory (Midland and Delaware basins, significantly expanded via Marathon acquisition) stands to benefit from the same EOR technology diffusion across the basin. This is a longer-term positive for COP’s Permian recovery factors and reserve life.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identified in the last 60 days — a discretionary open-market sale by a Director — which is not a meaningful signal; the absence of clustered buying or unusual selling activity is broadly neutral.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Mulligan, Sharmila</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1,974 shares (~$236K at ~$119.92 on Jun 10)</w:t>
            </w:r>
          </w:p>
        </w:tc>
        <w:tc>
          <w:tcPr>
            <w:tcW w:type="dxa" w:w="1440"/>
          </w:tcPr>
          <w:p>
            <w:r>
              <w:rPr>
                <w:rFonts w:ascii="Calibri" w:hAnsi="Calibri"/>
                <w:sz w:val="22"/>
              </w:rPr>
              <w:t>Jun 10, 2026</w:t>
            </w:r>
          </w:p>
        </w:tc>
        <w:tc>
          <w:tcPr>
            <w:tcW w:type="dxa" w:w="1440"/>
          </w:tcPr>
          <w:p>
            <w:r>
              <w:rPr>
                <w:rFonts w:ascii="Calibri" w:hAnsi="Calibri"/>
                <w:sz w:val="22"/>
              </w:rPr>
              <w:t>Discretionary sale; no 10b5-1 plan indicated; relatively small in size; not a meaningful signal</w:t>
            </w:r>
          </w:p>
        </w:tc>
      </w:tr>
    </w:tbl>
    <w:p>
      <w:r>
        <w:rPr>
          <w:rFonts w:ascii="Calibri" w:hAnsi="Calibri"/>
          <w:i/>
          <w:color w:val="525866"/>
          <w:sz w:val="22"/>
        </w:rPr>
        <w:t>No open-market purchases by executives or directors were identified in the last 60 days. The absence of insider buying ahead of earnings is not unusual for a large-cap E&amp;P company with a well-telegraphed macro setup. The single Director sale is small in size and not clustered with other transactions, suggesting routine portfolio management rather than a negative signal.</w:t>
      </w:r>
    </w:p>
    <w:p>
      <w:r>
        <w:rPr>
          <w:rFonts w:ascii="Calibri" w:hAnsi="Calibri"/>
          <w:b/>
          <w:color w:val="525866"/>
          <w:sz w:val="22"/>
        </w:rPr>
        <w:t xml:space="preserve">Source: </w:t>
      </w:r>
      <w:r>
        <w:rPr>
          <w:rFonts w:ascii="Calibri" w:hAnsi="Calibri"/>
          <w:i/>
          <w:color w:val="525866"/>
          <w:sz w:val="22"/>
        </w:rPr>
        <w:t>SEC Form 4 Filings Database (Insider Transaction Data). Window: June 5, 2026 – August 5, 2026.</w:t>
      </w:r>
    </w:p>
    <w:p>
      <w:r>
        <w:br w:type="page"/>
      </w:r>
    </w:p>
    <w:p>
      <w:pPr>
        <w:pStyle w:val="Heading2"/>
      </w:pPr>
      <w:r>
        <w:rPr>
          <w:rFonts w:ascii="Calibri" w:hAnsi="Calibri"/>
          <w:b/>
          <w:color w:val="3B4259"/>
          <w:sz w:val="28"/>
        </w:rPr>
        <w:t>9. Key Risks</w:t>
      </w:r>
    </w:p>
    <w:p>
      <w:r>
        <w:rPr>
          <w:rFonts w:ascii="Calibri" w:hAnsi="Calibri"/>
          <w:b/>
          <w:color w:val="525866"/>
          <w:sz w:val="22"/>
        </w:rPr>
        <w:t xml:space="preserve">Key Takeaway: </w:t>
      </w:r>
      <w:r>
        <w:rPr>
          <w:rFonts w:ascii="Calibri" w:hAnsi="Calibri"/>
          <w:color w:val="525866"/>
          <w:sz w:val="22"/>
        </w:rPr>
        <w:t>The risk profile is asymmetric — the bull case (Qatar reinstatement + sustained high oil prices) is more powerful than the bear case (demand destruction + rapid Hormuz reopening), but the stock’s underperformance since Q1 suggests the market is already pricing in meaningful downside risk.</w:t>
      </w:r>
    </w:p>
    <w:p>
      <w:pPr>
        <w:pStyle w:val="ListBullet"/>
        <w:ind w:left="360" w:hanging="360"/>
      </w:pPr>
      <w:r>
        <w:rPr>
          <w:rFonts w:ascii="Calibri" w:hAnsi="Calibri"/>
          <w:b/>
          <w:color w:val="525866"/>
          <w:sz w:val="22"/>
        </w:rPr>
        <w:t xml:space="preserve">Qatar production reinstatement timing (Upside/Downside): </w:t>
      </w:r>
      <w:r>
        <w:rPr>
          <w:rFonts w:ascii="Calibri" w:hAnsi="Calibri"/>
          <w:color w:val="525866"/>
          <w:sz w:val="22"/>
        </w:rPr>
        <w:t>Qatar N3 (~80 MBOED, ~3% of total production and CFO) is fully excluded from Q2 and FY 2026 guidance. Any signal of reinstatement in H2 2026 would be a meaningful positive revision catalyst for production and FCF estimates. Conversely, a prolonged shutdown extending into 2027 would further reduce FY 2026 production guidance but paradoxically supports LNG prices that benefit Port Arthur and EG LNG.</w:t>
      </w:r>
    </w:p>
    <w:p>
      <w:pPr>
        <w:pStyle w:val="ListBullet"/>
        <w:ind w:left="360" w:hanging="360"/>
      </w:pPr>
      <w:r>
        <w:rPr>
          <w:rFonts w:ascii="Calibri" w:hAnsi="Calibri"/>
          <w:b/>
          <w:color w:val="525866"/>
          <w:sz w:val="22"/>
        </w:rPr>
        <w:t xml:space="preserve">Oil price volatility (Downside): </w:t>
      </w:r>
      <w:r>
        <w:rPr>
          <w:rFonts w:ascii="Calibri" w:hAnsi="Calibri"/>
          <w:color w:val="525866"/>
          <w:sz w:val="22"/>
        </w:rPr>
        <w:t>COP is fully unhedged on oil and LNG. A rapid de-escalation of the Middle East conflict and Hormuz reopening could cause a sharp oil price correction, reducing CFO and the 45% return commitment in absolute dollar terms. XOM CEO noted “continued inhibition for movement” even post-conflict, suggesting a gradual rather than sudden price normalization, but the risk is real.</w:t>
      </w:r>
    </w:p>
    <w:p>
      <w:pPr>
        <w:pStyle w:val="ListBullet"/>
        <w:ind w:left="360" w:hanging="360"/>
      </w:pPr>
      <w:r>
        <w:rPr>
          <w:rFonts w:ascii="Calibri" w:hAnsi="Calibri"/>
          <w:b/>
          <w:color w:val="525866"/>
          <w:sz w:val="22"/>
        </w:rPr>
        <w:t xml:space="preserve">Willow cost and schedule risk (Downside): </w:t>
      </w:r>
      <w:r>
        <w:rPr>
          <w:rFonts w:ascii="Calibri" w:hAnsi="Calibri"/>
          <w:color w:val="525866"/>
          <w:sz w:val="22"/>
        </w:rPr>
        <w:t>Willow is 50% complete with sea lift of process modules planned for summer 2027. Any weather delays, fabrication issues, or cost overruns would push out the 2029 early oil target and delay the $7B FCF inflection. The project is the single largest driver of COP’s long-term FCF growth story.</w:t>
      </w:r>
    </w:p>
    <w:p>
      <w:pPr>
        <w:pStyle w:val="ListBullet"/>
        <w:ind w:left="360" w:hanging="360"/>
      </w:pPr>
      <w:r>
        <w:rPr>
          <w:rFonts w:ascii="Calibri" w:hAnsi="Calibri"/>
          <w:b/>
          <w:color w:val="525866"/>
          <w:sz w:val="22"/>
        </w:rPr>
        <w:t xml:space="preserve">NFE/NFS capital timing uncertainty (Downside): </w:t>
      </w:r>
      <w:r>
        <w:rPr>
          <w:rFonts w:ascii="Calibri" w:hAnsi="Calibri"/>
          <w:color w:val="525866"/>
          <w:sz w:val="22"/>
        </w:rPr>
        <w:t>COP raised CapEx guidance to $12–12.5B partly to capture uncertainty around NFE/NFS spending timing in Qatar. If construction delays extend further, CapEx could come in at the low end of guidance, which would be a positive for near-term FCF but signals project risk.</w:t>
      </w:r>
    </w:p>
    <w:p>
      <w:pPr>
        <w:pStyle w:val="ListBullet"/>
        <w:ind w:left="360" w:hanging="360"/>
      </w:pPr>
      <w:r>
        <w:rPr>
          <w:rFonts w:ascii="Calibri" w:hAnsi="Calibri"/>
          <w:b/>
          <w:color w:val="525866"/>
          <w:sz w:val="22"/>
        </w:rPr>
        <w:t xml:space="preserve">Permian cost inflation (Downside): </w:t>
      </w:r>
      <w:r>
        <w:rPr>
          <w:rFonts w:ascii="Calibri" w:hAnsi="Calibri"/>
          <w:color w:val="525866"/>
          <w:sz w:val="22"/>
        </w:rPr>
        <w:t>FANG flagged casing price inflation of ~1% of total well cost in H2 2026, with LOE pressure from power, water, and tubulars. COP’s $1B cost reduction program provides a company-specific offset, but investors should watch for any operating cost guidance revision on the Q2 call.</w:t>
      </w:r>
    </w:p>
    <w:p>
      <w:pPr>
        <w:pStyle w:val="ListBullet"/>
        <w:ind w:left="360" w:hanging="360"/>
      </w:pPr>
      <w:r>
        <w:rPr>
          <w:rFonts w:ascii="Calibri" w:hAnsi="Calibri"/>
          <w:b/>
          <w:color w:val="525866"/>
          <w:sz w:val="22"/>
        </w:rPr>
        <w:t xml:space="preserve">Political risk: windfall profit pressure (Downside): </w:t>
      </w:r>
      <w:r>
        <w:rPr>
          <w:rFonts w:ascii="Calibri" w:hAnsi="Calibri"/>
          <w:color w:val="525866"/>
          <w:sz w:val="22"/>
        </w:rPr>
        <w:t>President Trump publicly criticized XOM and CVX for “making too much money” and demanded lower gas prices (August 3–5, 2026). While no windfall profit tax legislation has been proposed, political pressure on the energy sector could weigh on sentiment and create headline risk for COP’s Q2 earnings release.</w:t>
      </w:r>
    </w:p>
    <w:p>
      <w:pPr>
        <w:pStyle w:val="ListBullet"/>
        <w:ind w:left="360" w:hanging="360"/>
      </w:pPr>
      <w:r>
        <w:rPr>
          <w:rFonts w:ascii="Calibri" w:hAnsi="Calibri"/>
          <w:b/>
          <w:color w:val="525866"/>
          <w:sz w:val="22"/>
        </w:rPr>
        <w:t xml:space="preserve">Surmont royalty rate headwind (Downside): </w:t>
      </w:r>
      <w:r>
        <w:rPr>
          <w:rFonts w:ascii="Calibri" w:hAnsi="Calibri"/>
          <w:color w:val="525866"/>
          <w:sz w:val="22"/>
        </w:rPr>
        <w:t>Higher oil prices trigger higher royalty rates at Surmont (Canada), reducing net production by ~15 MBOED annually vs. prior guidance. This is a mechanical, price-linked headwind that will persist as long as oil prices remain elevated.</w:t>
      </w:r>
    </w:p>
    <w:p>
      <w:pPr>
        <w:pStyle w:val="ListBullet"/>
        <w:ind w:left="360" w:hanging="360"/>
      </w:pPr>
      <w:r>
        <w:rPr>
          <w:rFonts w:ascii="Calibri" w:hAnsi="Calibri"/>
          <w:b/>
          <w:color w:val="525866"/>
          <w:sz w:val="22"/>
        </w:rPr>
        <w:t xml:space="preserve">LNG structural tightening thesis validation (Upside): </w:t>
      </w:r>
      <w:r>
        <w:rPr>
          <w:rFonts w:ascii="Calibri" w:hAnsi="Calibri"/>
          <w:color w:val="525866"/>
          <w:sz w:val="22"/>
        </w:rPr>
        <w:t>CVX confirmed European gas markets are “exceptionally tight” and JKM/TTF are firming. If management provides updated commentary on Port Arthur LNG offtake placement (first 5 MTPA predominantly placed; remaining volumes seeing “intensifying interest”), this could be a significant positive catalyst for the LNG growth story.</w:t>
      </w:r>
    </w:p>
    <w:p>
      <w:pPr>
        <w:pStyle w:val="ListBullet"/>
        <w:ind w:left="360" w:hanging="360"/>
      </w:pPr>
      <w:r>
        <w:rPr>
          <w:rFonts w:ascii="Calibri" w:hAnsi="Calibri"/>
          <w:b/>
          <w:color w:val="525866"/>
          <w:sz w:val="22"/>
        </w:rPr>
        <w:t xml:space="preserve">Divestiture program progress (Upside): </w:t>
      </w:r>
      <w:r>
        <w:rPr>
          <w:rFonts w:ascii="Calibri" w:hAnsi="Calibri"/>
          <w:color w:val="525866"/>
          <w:sz w:val="22"/>
        </w:rPr>
        <w:t>COP has a data room open for noncore Permian asset packages as part of its $5B divestiture target (roughly two-thirds completed by Q1 2026). Any announced transaction would be a positive catalyst for balance sheet strength and capital return capacity.</w:t>
      </w:r>
    </w:p>
    <w:p>
      <w:r>
        <w:br w:type="page"/>
      </w:r>
    </w:p>
    <w:p>
      <w:pPr>
        <w:pStyle w:val="Heading2"/>
      </w:pPr>
      <w:r>
        <w:rPr>
          <w:rFonts w:ascii="Calibri" w:hAnsi="Calibri"/>
          <w:b/>
          <w:color w:val="3B4259"/>
          <w:sz w:val="28"/>
        </w:rPr>
        <w:t>Appendix: Valuation Context</w:t>
      </w:r>
    </w:p>
    <w:p>
      <w:r>
        <w:rPr>
          <w:rFonts w:ascii="Calibri" w:hAnsi="Calibri"/>
          <w:color w:val="525866"/>
          <w:sz w:val="22"/>
        </w:rPr>
        <w:t xml:space="preserve">COP trades at </w:t>
      </w:r>
      <w:r>
        <w:rPr>
          <w:rFonts w:ascii="Calibri" w:hAnsi="Calibri"/>
          <w:b/>
          <w:color w:val="525866"/>
          <w:sz w:val="22"/>
        </w:rPr>
        <w:t>5.4x NTM EV/EBITDA</w:t>
      </w:r>
      <w:r>
        <w:rPr>
          <w:rFonts w:ascii="Calibri" w:hAnsi="Calibri"/>
          <w:color w:val="525866"/>
          <w:sz w:val="22"/>
        </w:rPr>
        <w:t xml:space="preserve"> (as of August 5, 2026), which is the primary valuation metric for E&amp;P companies. Over the past 12 months, the stock is up +23.9% with EV/EBITDA essentially flat (+1.4%), confirming that the 12-month return has been almost entirely earnings-driven. Over the past 3 months, the stock is down -6.7% with EV/EBITDA contracting -2.5%, confirming that the recent underperformance is a multiple compression story. Over the past 1 month, the stock is up +6.1% with EV/EBITDA expanding +14.0%, suggesting the recent recovery is multiple-driven as oil prices rebounded from the June trough.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(NTM)</w:t>
            </w:r>
          </w:p>
        </w:tc>
        <w:tc>
          <w:tcPr>
            <w:tcW w:type="dxa" w:w="1728"/>
            <w:shd w:val="clear" w:color="auto" w:fill="3B4259"/>
          </w:tcPr>
          <w:p>
            <w:r>
              <w:rPr>
                <w:rFonts w:ascii="Calibri" w:hAnsi="Calibri"/>
                <w:b/>
                <w:color w:val="FFFFFF"/>
                <w:sz w:val="22"/>
              </w:rPr>
              <w:t>1M Ago</w:t>
            </w:r>
          </w:p>
        </w:tc>
        <w:tc>
          <w:tcPr>
            <w:tcW w:type="dxa" w:w="1728"/>
            <w:shd w:val="clear" w:color="auto" w:fill="3B4259"/>
          </w:tcPr>
          <w:p>
            <w:r>
              <w:rPr>
                <w:rFonts w:ascii="Calibri" w:hAnsi="Calibri"/>
                <w:b/>
                <w:color w:val="FFFFFF"/>
                <w:sz w:val="22"/>
              </w:rPr>
              <w:t>3M Ago</w:t>
            </w:r>
          </w:p>
        </w:tc>
        <w:tc>
          <w:tcPr>
            <w:tcW w:type="dxa" w:w="1728"/>
            <w:shd w:val="clear" w:color="auto" w:fill="3B4259"/>
          </w:tcPr>
          <w:p>
            <w:r>
              <w:rPr>
                <w:rFonts w:ascii="Calibri" w:hAnsi="Calibri"/>
                <w:b/>
                <w:color w:val="FFFFFF"/>
                <w:sz w:val="22"/>
              </w:rPr>
              <w:t>12M Ago</w:t>
            </w:r>
          </w:p>
        </w:tc>
      </w:tr>
      <w:tr>
        <w:tc>
          <w:tcPr>
            <w:tcW w:type="dxa" w:w="1728"/>
          </w:tcPr>
          <w:p>
            <w:r>
              <w:rPr>
                <w:rFonts w:ascii="Calibri" w:hAnsi="Calibri"/>
                <w:sz w:val="22"/>
              </w:rPr>
              <w:t>EV / EBITDA (NTM)</w:t>
            </w:r>
          </w:p>
        </w:tc>
        <w:tc>
          <w:tcPr>
            <w:tcW w:type="dxa" w:w="1728"/>
          </w:tcPr>
          <w:p>
            <w:r>
              <w:rPr>
                <w:rFonts w:ascii="Calibri" w:hAnsi="Calibri"/>
                <w:sz w:val="22"/>
              </w:rPr>
              <w:t>5.4x</w:t>
            </w:r>
          </w:p>
        </w:tc>
        <w:tc>
          <w:tcPr>
            <w:tcW w:type="dxa" w:w="1728"/>
          </w:tcPr>
          <w:p>
            <w:r>
              <w:rPr>
                <w:rFonts w:ascii="Calibri" w:hAnsi="Calibri"/>
                <w:sz w:val="22"/>
              </w:rPr>
              <w:t>4.8x</w:t>
            </w:r>
          </w:p>
        </w:tc>
        <w:tc>
          <w:tcPr>
            <w:tcW w:type="dxa" w:w="1728"/>
          </w:tcPr>
          <w:p>
            <w:r>
              <w:rPr>
                <w:rFonts w:ascii="Calibri" w:hAnsi="Calibri"/>
                <w:sz w:val="22"/>
              </w:rPr>
              <w:t>5.6x</w:t>
            </w:r>
          </w:p>
        </w:tc>
        <w:tc>
          <w:tcPr>
            <w:tcW w:type="dxa" w:w="1728"/>
          </w:tcPr>
          <w:p>
            <w:r>
              <w:rPr>
                <w:rFonts w:ascii="Calibri" w:hAnsi="Calibri"/>
                <w:sz w:val="22"/>
              </w:rPr>
              <w:t>5.4x</w:t>
            </w:r>
          </w:p>
        </w:tc>
      </w:tr>
      <w:tr>
        <w:tc>
          <w:tcPr>
            <w:tcW w:type="dxa" w:w="1728"/>
          </w:tcPr>
          <w:p>
            <w:r>
              <w:rPr>
                <w:rFonts w:ascii="Calibri" w:hAnsi="Calibri"/>
                <w:sz w:val="22"/>
              </w:rPr>
              <w:t>P / E (NTM)</w:t>
            </w:r>
          </w:p>
        </w:tc>
        <w:tc>
          <w:tcPr>
            <w:tcW w:type="dxa" w:w="1728"/>
          </w:tcPr>
          <w:p>
            <w:r>
              <w:rPr>
                <w:rFonts w:ascii="Calibri" w:hAnsi="Calibri"/>
                <w:sz w:val="22"/>
              </w:rPr>
              <w:t>13.0x</w:t>
            </w:r>
          </w:p>
        </w:tc>
        <w:tc>
          <w:tcPr>
            <w:tcW w:type="dxa" w:w="1728"/>
          </w:tcPr>
          <w:p>
            <w:r>
              <w:rPr>
                <w:rFonts w:ascii="Calibri" w:hAnsi="Calibri"/>
                <w:sz w:val="22"/>
              </w:rPr>
              <w:t>11.1x</w:t>
            </w:r>
          </w:p>
        </w:tc>
        <w:tc>
          <w:tcPr>
            <w:tcW w:type="dxa" w:w="1728"/>
          </w:tcPr>
          <w:p>
            <w:r>
              <w:rPr>
                <w:rFonts w:ascii="Calibri" w:hAnsi="Calibri"/>
                <w:sz w:val="22"/>
              </w:rPr>
              <w:t>13.0x</w:t>
            </w:r>
          </w:p>
        </w:tc>
        <w:tc>
          <w:tcPr>
            <w:tcW w:type="dxa" w:w="1728"/>
          </w:tcPr>
          <w:p>
            <w:r>
              <w:rPr>
                <w:rFonts w:ascii="Calibri" w:hAnsi="Calibri"/>
                <w:sz w:val="22"/>
              </w:rPr>
              <w:t>14.2x</w:t>
            </w:r>
          </w:p>
        </w:tc>
      </w:tr>
      <w:tr>
        <w:tc>
          <w:tcPr>
            <w:tcW w:type="dxa" w:w="1728"/>
          </w:tcPr>
          <w:p>
            <w:r>
              <w:rPr>
                <w:rFonts w:ascii="Calibri" w:hAnsi="Calibri"/>
                <w:sz w:val="22"/>
              </w:rPr>
              <w:t>P / FCF (NTM)</w:t>
            </w:r>
          </w:p>
        </w:tc>
        <w:tc>
          <w:tcPr>
            <w:tcW w:type="dxa" w:w="1728"/>
          </w:tcPr>
          <w:p>
            <w:r>
              <w:rPr>
                <w:rFonts w:ascii="Calibri" w:hAnsi="Calibri"/>
                <w:sz w:val="22"/>
              </w:rPr>
              <w:t>12.3x</w:t>
            </w:r>
          </w:p>
        </w:tc>
        <w:tc>
          <w:tcPr>
            <w:tcW w:type="dxa" w:w="1728"/>
          </w:tcPr>
          <w:p>
            <w:r>
              <w:rPr>
                <w:rFonts w:ascii="Calibri" w:hAnsi="Calibri"/>
                <w:sz w:val="22"/>
              </w:rPr>
              <w:t>10.7x</w:t>
            </w:r>
          </w:p>
        </w:tc>
        <w:tc>
          <w:tcPr>
            <w:tcW w:type="dxa" w:w="1728"/>
          </w:tcPr>
          <w:p>
            <w:r>
              <w:rPr>
                <w:rFonts w:ascii="Calibri" w:hAnsi="Calibri"/>
                <w:sz w:val="22"/>
              </w:rPr>
              <w:t>12.8x</w:t>
            </w:r>
          </w:p>
        </w:tc>
        <w:tc>
          <w:tcPr>
            <w:tcW w:type="dxa" w:w="1728"/>
          </w:tcPr>
          <w:p>
            <w:r>
              <w:rPr>
                <w:rFonts w:ascii="Calibri" w:hAnsi="Calibri"/>
                <w:sz w:val="22"/>
              </w:rPr>
              <w:t>15.0x</w:t>
            </w:r>
          </w:p>
        </w:tc>
      </w:tr>
      <w:tr>
        <w:tc>
          <w:tcPr>
            <w:tcW w:type="dxa" w:w="1728"/>
          </w:tcPr>
          <w:p>
            <w:r>
              <w:rPr>
                <w:rFonts w:ascii="Calibri" w:hAnsi="Calibri"/>
                <w:sz w:val="22"/>
              </w:rPr>
              <w:t>EV / Sales (NTM)</w:t>
            </w:r>
          </w:p>
        </w:tc>
        <w:tc>
          <w:tcPr>
            <w:tcW w:type="dxa" w:w="1728"/>
          </w:tcPr>
          <w:p>
            <w:r>
              <w:rPr>
                <w:rFonts w:ascii="Calibri" w:hAnsi="Calibri"/>
                <w:sz w:val="22"/>
              </w:rPr>
              <w:t>2.4x</w:t>
            </w:r>
          </w:p>
        </w:tc>
        <w:tc>
          <w:tcPr>
            <w:tcW w:type="dxa" w:w="1728"/>
          </w:tcPr>
          <w:p>
            <w:r>
              <w:rPr>
                <w:rFonts w:ascii="Calibri" w:hAnsi="Calibri"/>
                <w:sz w:val="22"/>
              </w:rPr>
              <w:t>2.2x</w:t>
            </w:r>
          </w:p>
        </w:tc>
        <w:tc>
          <w:tcPr>
            <w:tcW w:type="dxa" w:w="1728"/>
          </w:tcPr>
          <w:p>
            <w:r>
              <w:rPr>
                <w:rFonts w:ascii="Calibri" w:hAnsi="Calibri"/>
                <w:sz w:val="22"/>
              </w:rPr>
              <w:t>2.6x</w:t>
            </w:r>
          </w:p>
        </w:tc>
        <w:tc>
          <w:tcPr>
            <w:tcW w:type="dxa" w:w="1728"/>
          </w:tcPr>
          <w:p>
            <w:r>
              <w:rPr>
                <w:rFonts w:ascii="Calibri" w:hAnsi="Calibri"/>
                <w:sz w:val="22"/>
              </w:rPr>
              <w:t>2.2x</w:t>
            </w:r>
          </w:p>
        </w:tc>
      </w:tr>
      <w:tr>
        <w:tc>
          <w:tcPr>
            <w:tcW w:type="dxa" w:w="1728"/>
          </w:tcPr>
          <w:p>
            <w:r>
              <w:rPr>
                <w:rFonts w:ascii="Calibri" w:hAnsi="Calibri"/>
                <w:sz w:val="22"/>
              </w:rPr>
              <w:t>P / Book (NTM)</w:t>
            </w:r>
          </w:p>
        </w:tc>
        <w:tc>
          <w:tcPr>
            <w:tcW w:type="dxa" w:w="1728"/>
          </w:tcPr>
          <w:p>
            <w:r>
              <w:rPr>
                <w:rFonts w:ascii="Calibri" w:hAnsi="Calibri"/>
                <w:sz w:val="22"/>
              </w:rPr>
              <w:t>2.1x</w:t>
            </w:r>
          </w:p>
        </w:tc>
        <w:tc>
          <w:tcPr>
            <w:tcW w:type="dxa" w:w="1728"/>
          </w:tcPr>
          <w:p>
            <w:r>
              <w:rPr>
                <w:rFonts w:ascii="Calibri" w:hAnsi="Calibri"/>
                <w:sz w:val="22"/>
              </w:rPr>
              <w:t>1.8x</w:t>
            </w:r>
          </w:p>
        </w:tc>
        <w:tc>
          <w:tcPr>
            <w:tcW w:type="dxa" w:w="1728"/>
          </w:tcPr>
          <w:p>
            <w:r>
              <w:rPr>
                <w:rFonts w:ascii="Calibri" w:hAnsi="Calibri"/>
                <w:sz w:val="22"/>
              </w:rPr>
              <w:t>2.2x</w:t>
            </w:r>
          </w:p>
        </w:tc>
        <w:tc>
          <w:tcPr>
            <w:tcW w:type="dxa" w:w="1728"/>
          </w:tcPr>
          <w:p>
            <w:r>
              <w:rPr>
                <w:rFonts w:ascii="Calibri" w:hAnsi="Calibri"/>
                <w:sz w:val="22"/>
              </w:rPr>
              <w:t>1.8x</w:t>
            </w:r>
          </w:p>
        </w:tc>
      </w:tr>
    </w:tbl>
    <w:p>
      <w:r>
        <w:rPr>
          <w:rFonts w:ascii="Calibri" w:hAnsi="Calibri"/>
          <w:b/>
          <w:color w:val="525866"/>
          <w:sz w:val="22"/>
        </w:rPr>
        <w:t xml:space="preserve">Source: </w:t>
      </w:r>
      <w:r>
        <w:rPr>
          <w:rFonts w:ascii="Calibri" w:hAnsi="Calibri"/>
          <w:i/>
          <w:color w:val="525866"/>
          <w:sz w:val="22"/>
        </w:rPr>
        <w:t>Stock Performance Decomposition (NTM consensus multiples, trading-day windows as of August 5,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