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COR (Cencora) before writing the preview. Let me start by gathering recent filings, earnings materials, and news.Let me read the most recent earnings materials and check for the latest 10-Q and news.Now let me gather recent news, stock price performance, and any relevant peer/sector context ahead of the report.Let me check the Q3 earnings date announcement, recent news, and the prior-year Q3 for comparison.Let me pull the prior-year Q3 (fiscal 2025 Q3) release for the year-over-year comparison baseline.Let me get sector/policy context and any consensus estimates.# Cencora (COR) — Fiscal 3Q26 Earnings Preview</w:t>
      </w:r>
      <w:r>
        <w:t xml:space="preserve"> </w:t>
      </w:r>
      <w:r>
        <w:rPr>
          <w:b/>
          <w:bCs/>
        </w:rPr>
        <w:t xml:space="preserve">Report date:</w:t>
      </w:r>
      <w:r>
        <w:t xml:space="preserve"> </w:t>
      </w:r>
      <w:r>
        <w:t xml:space="preserve">Wednesday, August 5, 2026 (before market open); call at 8:30 a.m. ET</w:t>
      </w:r>
      <w:r>
        <w:t xml:space="preserve"> </w:t>
      </w:r>
      <w:r>
        <w:rPr>
          <w:b/>
          <w:bCs/>
        </w:rPr>
        <w:t xml:space="preserve">Quarter:</w:t>
      </w:r>
      <w:r>
        <w:t xml:space="preserve"> </w:t>
      </w:r>
      <w:r>
        <w:t xml:space="preserve">Fiscal Q3 2026 (ended June 30, 2026)</w:t>
      </w:r>
    </w:p>
    <w:p>
      <w:r>
        <w:pict>
          <v:rect style="width:0;height:1.5pt" o:hralign="center" o:hrstd="t" o:hr="t"/>
        </w:pict>
      </w:r>
    </w:p>
    <w:bookmarkStart w:id="9" w:name="the-one-line-setup"/>
    <w:p>
      <w:pPr>
        <w:pStyle w:val="Heading2"/>
      </w:pPr>
      <w:r>
        <w:t xml:space="preserve">The one-line setup</w:t>
      </w:r>
    </w:p>
    <w:p>
      <w:pPr>
        <w:pStyle w:val="FirstParagraph"/>
      </w:pPr>
      <w:r>
        <w:t xml:space="preserve">Cencora heads into its June-quarter print with a</w:t>
      </w:r>
      <w:r>
        <w:t xml:space="preserve"> </w:t>
      </w:r>
      <w:r>
        <w:rPr>
          <w:b/>
          <w:bCs/>
        </w:rPr>
        <w:t xml:space="preserve">fully rebuilt stock price but a higher bar</w:t>
      </w:r>
      <w:r>
        <w:t xml:space="preserve">. Shares cratered ~17% on the May 6 (Q2) report—from ~</w:t>
      </w:r>
      <m:oMath>
        <m:r>
          <m:t>306</m:t>
        </m:r>
        <m:r>
          <m:t>t</m:t>
        </m:r>
        <m:r>
          <m:t>o</m:t>
        </m:r>
        <m:r>
          <m:t> </m:t>
        </m:r>
      </m:oMath>
      <w:r>
        <w:t xml:space="preserve">253—not on earnings (which beat and drove a guidance raise) but on a</w:t>
      </w:r>
      <w:r>
        <w:t xml:space="preserve"> </w:t>
      </w:r>
      <w:r>
        <w:rPr>
          <w:i/>
          <w:iCs/>
        </w:rPr>
        <w:t xml:space="preserve">revenue</w:t>
      </w:r>
      <w:r>
        <w:t xml:space="preserve"> </w:t>
      </w:r>
      <w:r>
        <w:t xml:space="preserve">guidance cut. Since then the stock has round-tripped all the way back to ~$306 by August 4. So the market has forgiven the revenue-optics scare; the question now is whether operating income momentum and the back-half ramp management promised are actually showing up. This is also</w:t>
      </w:r>
      <w:r>
        <w:t xml:space="preserve"> </w:t>
      </w:r>
      <w:r>
        <w:rPr>
          <w:b/>
          <w:bCs/>
        </w:rPr>
        <w:t xml:space="preserve">new CFO Eva Boratto's first earnings call</w:t>
      </w:r>
      <w:r>
        <w:t xml:space="preserve"> </w:t>
      </w:r>
      <w:r>
        <w:t xml:space="preserve">(Jim Cleary retired), which adds a communication/credibility wrinkle.</w:t>
      </w:r>
    </w:p>
    <w:p>
      <w:r>
        <w:pict>
          <v:rect style="width:0;height:1.5pt" o:hralign="center" o:hrstd="t" o:hr="t"/>
        </w:pict>
      </w:r>
    </w:p>
    <w:bookmarkEnd w:id="9"/>
    <w:bookmarkStart w:id="11" w:name="what-management-already-told-us-about-q3"/>
    <w:p>
      <w:pPr>
        <w:pStyle w:val="Heading2"/>
      </w:pPr>
      <w:r>
        <w:t xml:space="preserve">What management already told us about Q3</w:t>
      </w:r>
    </w:p>
    <w:p>
      <w:pPr>
        <w:pStyle w:val="FirstParagraph"/>
      </w:pPr>
      <w:r>
        <w:t xml:space="preserve">On the Q2 call, CFO Jim Cleary was unusually specific about the June quarter cadence:</w:t>
      </w:r>
    </w:p>
    <w:p>
      <w:pPr>
        <w:pStyle w:val="Compact"/>
        <w:numPr>
          <w:ilvl w:val="0"/>
          <w:numId w:val="1001"/>
        </w:numPr>
      </w:pPr>
      <w:r>
        <w:rPr>
          <w:b/>
          <w:bCs/>
        </w:rPr>
        <w:t xml:space="preserve">Adjusted EPS growth in the "high single digits"</w:t>
      </w:r>
      <w:r>
        <w:t xml:space="preserve"> </w:t>
      </w:r>
      <w:r>
        <w:t xml:space="preserve">for Q3 — a</w:t>
      </w:r>
      <w:r>
        <w:t xml:space="preserve"> </w:t>
      </w:r>
      <w:r>
        <w:rPr>
          <w:i/>
          <w:iCs/>
        </w:rPr>
        <w:t xml:space="preserve">deceleration</w:t>
      </w:r>
      <w:r>
        <w:t xml:space="preserve"> </w:t>
      </w:r>
      <w:r>
        <w:t xml:space="preserve">from the +19.8% posted in the year-ago Q3 and from ~9% in Q1. The company was explicit that</w:t>
      </w:r>
      <w:r>
        <w:t xml:space="preserve"> </w:t>
      </w:r>
      <w:r>
        <w:rPr>
          <w:b/>
          <w:bCs/>
        </w:rPr>
        <w:t xml:space="preserve">Q4, not Q3, is the strongest growth quarter</w:t>
      </w:r>
      <w:r>
        <w:t xml:space="preserve"> </w:t>
      </w:r>
      <w:r>
        <w:t xml:space="preserve">of the year.</w:t>
      </w:r>
    </w:p>
    <w:p>
      <w:pPr>
        <w:pStyle w:val="Compact"/>
        <w:numPr>
          <w:ilvl w:val="0"/>
          <w:numId w:val="1001"/>
        </w:numPr>
      </w:pPr>
      <w:r>
        <w:rPr>
          <w:b/>
          <w:bCs/>
        </w:rPr>
        <w:t xml:space="preserve">Net interest expense ~</w:t>
      </w:r>
      <m:oMath>
        <m:r>
          <m:t>140</m:t>
        </m:r>
        <m:r>
          <m:t>M</m:t>
        </m:r>
        <m:r>
          <m:t>i</m:t>
        </m:r>
        <m:r>
          <m:t>n</m:t>
        </m:r>
        <m:r>
          <m:t>Q</m:t>
        </m:r>
        <m:r>
          <m:t>3</m:t>
        </m:r>
        <m:r>
          <m:rPr>
            <m:sty m:val="p"/>
          </m:rPr>
          <m:t>*</m:t>
        </m:r>
        <m:r>
          <m:rPr>
            <m:sty m:val="p"/>
          </m:rPr>
          <m:t>*</m:t>
        </m:r>
        <m:r>
          <m:rPr>
            <m:sty m:val="p"/>
          </m:rPr>
          <m:t>—</m:t>
        </m:r>
        <m:r>
          <m:t>f</m:t>
        </m:r>
        <m:r>
          <m:t>l</m:t>
        </m:r>
        <m:r>
          <m:t>a</m:t>
        </m:r>
        <m:r>
          <m:t>t</m:t>
        </m:r>
        <m:r>
          <m:t>v</m:t>
        </m:r>
        <m:r>
          <m:t>s</m:t>
        </m:r>
        <m:r>
          <m:rPr>
            <m:sty m:val="p"/>
          </m:rPr>
          <m:t>.</m:t>
        </m:r>
        <m:r>
          <m:t>Q</m:t>
        </m:r>
        <m:r>
          <m:t>2</m:t>
        </m:r>
        <m:r>
          <m:rPr>
            <m:sty m:val="p"/>
          </m:rPr>
          <m:t>,</m:t>
        </m:r>
        <m:r>
          <m:t>b</m:t>
        </m:r>
        <m:r>
          <m:t>u</m:t>
        </m:r>
        <m:r>
          <m:t>t</m:t>
        </m:r>
        <m:r>
          <m:t>a</m:t>
        </m:r>
        <m:r>
          <m:t>h</m:t>
        </m:r>
        <m:r>
          <m:t>u</m:t>
        </m:r>
        <m:r>
          <m:t>g</m:t>
        </m:r>
        <m:r>
          <m:t>e</m:t>
        </m:r>
        <m:r>
          <m:t>s</m:t>
        </m:r>
        <m:r>
          <m:t>t</m:t>
        </m:r>
        <m:r>
          <m:t>e</m:t>
        </m:r>
        <m:r>
          <m:t>p</m:t>
        </m:r>
        <m:r>
          <m:rPr>
            <m:sty m:val="p"/>
          </m:rPr>
          <m:t>−</m:t>
        </m:r>
        <m:r>
          <m:t>u</m:t>
        </m:r>
        <m:r>
          <m:t>p</m:t>
        </m:r>
        <m:r>
          <m:t>f</m:t>
        </m:r>
        <m:r>
          <m:t>r</m:t>
        </m:r>
        <m:r>
          <m:t>o</m:t>
        </m:r>
        <m:r>
          <m:t>m</m:t>
        </m:r>
        <m:r>
          <m:rPr>
            <m:sty m:val="p"/>
          </m:rPr>
          <m:t>*</m:t>
        </m:r>
        <m:r>
          <m:rPr>
            <m:sty m:val="p"/>
          </m:rPr>
          <m:t>*</m:t>
        </m:r>
      </m:oMath>
      <w:r>
        <w:rPr>
          <w:b/>
          <w:bCs/>
        </w:rPr>
        <w:t xml:space="preserve">81.8M in Q3 FY25</w:t>
      </w:r>
      <w:r>
        <w:t xml:space="preserve">. That ~</w:t>
      </w:r>
      <m:oMath>
        <m:r>
          <m:t>58</m:t>
        </m:r>
        <m:r>
          <m:t>M</m:t>
        </m:r>
        <m:r>
          <m:t>Y</m:t>
        </m:r>
        <m:r>
          <m:t>o</m:t>
        </m:r>
        <m:r>
          <m:t>Y</m:t>
        </m:r>
        <m:r>
          <m:t>h</m:t>
        </m:r>
        <m:r>
          <m:t>e</m:t>
        </m:r>
        <m:r>
          <m:t>a</m:t>
        </m:r>
        <m:r>
          <m:t>d</m:t>
        </m:r>
        <m:r>
          <m:t>w</m:t>
        </m:r>
        <m:r>
          <m:t>i</m:t>
        </m:r>
        <m:r>
          <m:t>n</m:t>
        </m:r>
        <m:r>
          <m:t>d</m:t>
        </m:r>
        <m:r>
          <m:rPr>
            <m:sty m:val="p"/>
          </m:rPr>
          <m:t>(</m:t>
        </m:r>
        <m:r>
          <m:t>f</m:t>
        </m:r>
        <m:r>
          <m:t>r</m:t>
        </m:r>
        <m:r>
          <m:t>o</m:t>
        </m:r>
        <m:r>
          <m:t>m</m:t>
        </m:r>
        <m:r>
          <m:t>t</m:t>
        </m:r>
        <m:r>
          <m:t>h</m:t>
        </m:r>
        <m:r>
          <m:t>e</m:t>
        </m:r>
        <m:r>
          <m:t>O</m:t>
        </m:r>
        <m:r>
          <m:t>n</m:t>
        </m:r>
        <m:r>
          <m:t>e</m:t>
        </m:r>
        <m:r>
          <m:t>O</m:t>
        </m:r>
        <m:r>
          <m:t>n</m:t>
        </m:r>
        <m:r>
          <m:t>c</m:t>
        </m:r>
        <m:r>
          <m:t>o</m:t>
        </m:r>
        <m:r>
          <m:t>l</m:t>
        </m:r>
        <m:r>
          <m:t>o</m:t>
        </m:r>
        <m:r>
          <m:t>g</m:t>
        </m:r>
        <m:r>
          <m:t>y</m:t>
        </m:r>
        <m:r>
          <m:rPr>
            <m:sty m:val="p"/>
          </m:rPr>
          <m:t>−</m:t>
        </m:r>
        <m:r>
          <m:t>r</m:t>
        </m:r>
        <m:r>
          <m:t>e</m:t>
        </m:r>
        <m:r>
          <m:t>l</m:t>
        </m:r>
        <m:r>
          <m:t>a</m:t>
        </m:r>
        <m:r>
          <m:t>t</m:t>
        </m:r>
        <m:r>
          <m:t>e</m:t>
        </m:r>
        <m:r>
          <m:t>d</m:t>
        </m:r>
        <m:r>
          <m:t>d</m:t>
        </m:r>
        <m:r>
          <m:t>e</m:t>
        </m:r>
        <m:r>
          <m:t>b</m:t>
        </m:r>
        <m:r>
          <m:t>t</m:t>
        </m:r>
        <m:r>
          <m:rPr>
            <m:sty m:val="p"/>
          </m:rPr>
          <m:t>)</m:t>
        </m:r>
        <m:r>
          <m:t>i</m:t>
        </m:r>
        <m:r>
          <m:t>s</m:t>
        </m:r>
        <m:r>
          <m:t>w</m:t>
        </m:r>
        <m:r>
          <m:t>o</m:t>
        </m:r>
        <m:r>
          <m:t>r</m:t>
        </m:r>
        <m:r>
          <m:t>t</m:t>
        </m:r>
        <m:r>
          <m:t>h</m:t>
        </m:r>
        <m:r>
          <m:t>r</m:t>
        </m:r>
        <m:r>
          <m:t>o</m:t>
        </m:r>
        <m:r>
          <m:t>u</m:t>
        </m:r>
        <m:r>
          <m:t>g</m:t>
        </m:r>
        <m:r>
          <m:t>h</m:t>
        </m:r>
        <m:r>
          <m:t>l</m:t>
        </m:r>
        <m:r>
          <m:t>y</m:t>
        </m:r>
        <m:r>
          <m:rPr>
            <m:sty m:val="p"/>
          </m:rPr>
          <m:t>*</m:t>
        </m:r>
        <m:r>
          <m:rPr>
            <m:sty m:val="p"/>
          </m:rPr>
          <m:t>*</m:t>
        </m:r>
        <m:r>
          <m:t> </m:t>
        </m:r>
      </m:oMath>
      <w:r>
        <w:t xml:space="preserve">0.24/share** and is the single biggest reason EPS growth lags operating-income growth this quarter.</w:t>
      </w:r>
    </w:p>
    <w:p>
      <w:pPr>
        <w:pStyle w:val="Compact"/>
        <w:numPr>
          <w:ilvl w:val="0"/>
          <w:numId w:val="1001"/>
        </w:numPr>
      </w:pPr>
      <w:r>
        <w:rPr>
          <w:b/>
          <w:bCs/>
        </w:rPr>
        <w:t xml:space="preserve">Q3 does</w:t>
      </w:r>
      <w:r>
        <w:rPr>
          <w:b/>
          <w:bCs/>
        </w:rPr>
        <w:t xml:space="preserve"> </w:t>
      </w:r>
      <w:r>
        <w:rPr>
          <w:b/>
          <w:bCs/>
          <w:i/>
          <w:iCs/>
        </w:rPr>
        <w:t xml:space="preserve">not</w:t>
      </w:r>
      <w:r>
        <w:rPr>
          <w:b/>
          <w:bCs/>
        </w:rPr>
        <w:t xml:space="preserve"> </w:t>
      </w:r>
      <w:r>
        <w:rPr>
          <w:b/>
          <w:bCs/>
        </w:rPr>
        <w:t xml:space="preserve">yet lap the lost oncology customer</w:t>
      </w:r>
      <w:r>
        <w:t xml:space="preserve"> </w:t>
      </w:r>
      <w:r>
        <w:t xml:space="preserve">(that acquisition-related loss began hitting numbers July 1, 2025, so it laps in Q4 FY26). Meanwhile Q3 gets a</w:t>
      </w:r>
      <w:r>
        <w:t xml:space="preserve"> </w:t>
      </w:r>
      <w:r>
        <w:rPr>
          <w:b/>
          <w:bCs/>
        </w:rPr>
        <w:t xml:space="preserve">full quarter of OneOncology</w:t>
      </w:r>
      <w:r>
        <w:t xml:space="preserve"> </w:t>
      </w:r>
      <w:r>
        <w:t xml:space="preserve">(closed Feb 2, 2026 → only ~2 months in Q2), with accretion ramping through the year.</w:t>
      </w:r>
    </w:p>
    <w:bookmarkStart w:id="10" w:name="rough-math-on-the-bar"/>
    <w:p>
      <w:pPr>
        <w:pStyle w:val="Heading3"/>
      </w:pPr>
      <w:r>
        <w:t xml:space="preserve">Rough math on the bar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Q3 FY25 (actual)</w:t>
            </w:r>
          </w:p>
        </w:tc>
        <w:tc>
          <w:tcPr/>
          <w:p>
            <w:pPr>
              <w:pStyle w:val="Compact"/>
            </w:pPr>
            <w:r>
              <w:t xml:space="preserve">Q3 FY26 implied</w:t>
            </w:r>
          </w:p>
        </w:tc>
      </w:tr>
      <w:tr>
        <w:tc>
          <w:tcPr/>
          <w:p>
            <w:pPr>
              <w:pStyle w:val="Compact"/>
            </w:pPr>
            <w:r>
              <w:t xml:space="preserve">Adjusted EPS</w:t>
            </w:r>
          </w:p>
        </w:tc>
        <w:tc>
          <w:tcPr/>
          <w:p>
            <w:pPr>
              <w:pStyle w:val="Compact"/>
            </w:pPr>
            <w:r>
              <w:t xml:space="preserve">$4.00</w:t>
            </w:r>
          </w:p>
        </w:tc>
        <w:tc>
          <w:tcPr/>
          <w:p>
            <w:pPr>
              <w:pStyle w:val="Compact"/>
            </w:pPr>
            <w:r>
              <w:t xml:space="preserve">~</w:t>
            </w:r>
            <m:oMath>
              <m:r>
                <m:t>4.28</m:t>
              </m:r>
              <m:r>
                <m:rPr>
                  <m:sty m:val="p"/>
                </m:rPr>
                <m:t>–</m:t>
              </m:r>
            </m:oMath>
            <w:r>
              <w:rPr>
                <w:b/>
                <w:bCs/>
              </w:rPr>
              <w:t xml:space="preserve">4.36</w:t>
            </w:r>
            <w:r>
              <w:t xml:space="preserve"> </w:t>
            </w:r>
            <w:r>
              <w:t xml:space="preserve">(high-single-digit growth)</w:t>
            </w:r>
          </w:p>
        </w:tc>
      </w:tr>
      <w:tr>
        <w:tc>
          <w:tcPr/>
          <w:p>
            <w:pPr>
              <w:pStyle w:val="Compact"/>
            </w:pPr>
            <w:r>
              <w:t xml:space="preserve">Revenue</w:t>
            </w:r>
          </w:p>
        </w:tc>
        <w:tc>
          <w:tcPr/>
          <w:p>
            <w:pPr>
              <w:pStyle w:val="Compact"/>
            </w:pPr>
            <w:r>
              <w:t xml:space="preserve">$80.7B (+8.7%)</w:t>
            </w:r>
          </w:p>
        </w:tc>
        <w:tc>
          <w:tcPr/>
          <w:p>
            <w:pPr>
              <w:pStyle w:val="Compact"/>
            </w:pPr>
            <w:r>
              <w:t xml:space="preserve">Slower; growth compressed by WAC cuts, brand conversions, GLP-1</w:t>
            </w:r>
          </w:p>
        </w:tc>
      </w:tr>
      <w:tr>
        <w:tc>
          <w:tcPr/>
          <w:p>
            <w:pPr>
              <w:pStyle w:val="Compact"/>
            </w:pPr>
            <w:r>
              <w:t xml:space="preserve">Net interest expense</w:t>
            </w:r>
          </w:p>
        </w:tc>
        <w:tc>
          <w:tcPr/>
          <w:p>
            <w:pPr>
              <w:pStyle w:val="Compact"/>
            </w:pPr>
            <w:r>
              <w:t xml:space="preserve">$81.8M</w:t>
            </w:r>
          </w:p>
        </w:tc>
        <w:tc>
          <w:tcPr/>
          <w:p>
            <w:pPr>
              <w:pStyle w:val="Compact"/>
            </w:pPr>
            <w:r>
              <w:t xml:space="preserve">~$140M</w:t>
            </w:r>
          </w:p>
        </w:tc>
      </w:tr>
      <w:tr>
        <w:tc>
          <w:tcPr/>
          <w:p>
            <w:pPr>
              <w:pStyle w:val="Compact"/>
            </w:pPr>
            <w:r>
              <w:t xml:space="preserve">Adj. tax rate</w:t>
            </w:r>
          </w:p>
        </w:tc>
        <w:tc>
          <w:tcPr/>
          <w:p>
            <w:pPr>
              <w:pStyle w:val="Compact"/>
            </w:pPr>
            <w:r>
              <w:t xml:space="preserve">20.7%</w:t>
            </w:r>
          </w:p>
        </w:tc>
        <w:tc>
          <w:tcPr/>
          <w:p>
            <w:pPr>
              <w:pStyle w:val="Compact"/>
            </w:pPr>
            <w:r>
              <w:t xml:space="preserve">~20% (FY guide)</w:t>
            </w:r>
          </w:p>
        </w:tc>
      </w:tr>
      <w:tr>
        <w:tc>
          <w:tcPr/>
          <w:p>
            <w:pPr>
              <w:pStyle w:val="Compact"/>
            </w:pPr>
            <w:r>
              <w:t xml:space="preserve">Diluted shares</w:t>
            </w:r>
          </w:p>
        </w:tc>
        <w:tc>
          <w:tcPr/>
          <w:p>
            <w:pPr>
              <w:pStyle w:val="Compact"/>
            </w:pPr>
            <w:r>
              <w:t xml:space="preserve">195.2M</w:t>
            </w:r>
          </w:p>
        </w:tc>
        <w:tc>
          <w:tcPr/>
          <w:p>
            <w:pPr>
              <w:pStyle w:val="Compact"/>
            </w:pPr>
            <w:r>
              <w:t xml:space="preserve">&lt;195.5M (buyback resuming)</w:t>
            </w:r>
          </w:p>
        </w:tc>
      </w:tr>
    </w:tbl>
    <w:p>
      <w:pPr>
        <w:pStyle w:val="BodyText"/>
      </w:pPr>
      <w:r>
        <w:t xml:space="preserve">For context: H1 FY26 adjusted EPS was **</w:t>
      </w:r>
      <m:oMath>
        <m:r>
          <m:t>8.83</m:t>
        </m:r>
        <m:r>
          <m:rPr>
            <m:sty m:val="p"/>
          </m:rPr>
          <m:t>*</m:t>
        </m:r>
        <m:r>
          <m:rPr>
            <m:sty m:val="p"/>
          </m:rPr>
          <m:t>*</m:t>
        </m:r>
        <m:r>
          <m:rPr>
            <m:sty m:val="p"/>
          </m:rPr>
          <m:t>(</m:t>
        </m:r>
      </m:oMath>
      <w:r>
        <w:t xml:space="preserve">4.08 in Q1 +</w:t>
      </w:r>
      <w:r>
        <w:t xml:space="preserve"> </w:t>
      </w:r>
      <m:oMath>
        <m:r>
          <m:t>4.75</m:t>
        </m:r>
        <m:r>
          <m:t>i</m:t>
        </m:r>
        <m:r>
          <m:t>n</m:t>
        </m:r>
        <m:r>
          <m:t>Q</m:t>
        </m:r>
        <m:r>
          <m:t>2</m:t>
        </m:r>
        <m:r>
          <m:rPr>
            <m:sty m:val="p"/>
          </m:rPr>
          <m:t>)</m:t>
        </m:r>
        <m:r>
          <m:rPr>
            <m:sty m:val="p"/>
          </m:rPr>
          <m:t>.</m:t>
        </m:r>
        <m:r>
          <m:t>T</m:t>
        </m:r>
        <m:r>
          <m:t>h</m:t>
        </m:r>
        <m:r>
          <m:t>e</m:t>
        </m:r>
        <m:r>
          <m:t>f</m:t>
        </m:r>
        <m:r>
          <m:t>u</m:t>
        </m:r>
        <m:r>
          <m:t>l</m:t>
        </m:r>
        <m:r>
          <m:t>l</m:t>
        </m:r>
        <m:r>
          <m:rPr>
            <m:sty m:val="p"/>
          </m:rPr>
          <m:t>−</m:t>
        </m:r>
        <m:r>
          <m:t>y</m:t>
        </m:r>
        <m:r>
          <m:t>e</m:t>
        </m:r>
        <m:r>
          <m:t>a</m:t>
        </m:r>
        <m:r>
          <m:t>r</m:t>
        </m:r>
        <m:r>
          <m:t>g</m:t>
        </m:r>
        <m:r>
          <m:t>u</m:t>
        </m:r>
        <m:r>
          <m:t>i</m:t>
        </m:r>
        <m:r>
          <m:t>d</m:t>
        </m:r>
        <m:r>
          <m:t>e</m:t>
        </m:r>
        <m:r>
          <m:t>m</m:t>
        </m:r>
        <m:r>
          <m:t>i</m:t>
        </m:r>
        <m:r>
          <m:t>d</m:t>
        </m:r>
        <m:r>
          <m:t>p</m:t>
        </m:r>
        <m:r>
          <m:t>o</m:t>
        </m:r>
        <m:r>
          <m:t>i</m:t>
        </m:r>
        <m:r>
          <m:t>n</m:t>
        </m:r>
        <m:r>
          <m:t>t</m:t>
        </m:r>
        <m:r>
          <m:rPr>
            <m:sty m:val="p"/>
          </m:rPr>
          <m:t>(</m:t>
        </m:r>
        <m:r>
          <m:t> </m:t>
        </m:r>
      </m:oMath>
      <w:r>
        <w:t xml:space="preserve">17.78) implies</w:t>
      </w:r>
      <w:r>
        <w:t xml:space="preserve"> </w:t>
      </w:r>
      <w:r>
        <w:rPr>
          <w:b/>
          <w:bCs/>
        </w:rPr>
        <w:t xml:space="preserve">~$8.95 in H2</w:t>
      </w:r>
      <w:r>
        <w:t xml:space="preserve">, which is heavily back-loaded to Q4.</w:t>
      </w:r>
    </w:p>
    <w:p>
      <w:r>
        <w:pict>
          <v:rect style="width:0;height:1.5pt" o:hralign="center" o:hrstd="t" o:hr="t"/>
        </w:pict>
      </w:r>
    </w:p>
    <w:bookmarkEnd w:id="10"/>
    <w:bookmarkEnd w:id="11"/>
    <w:bookmarkStart w:id="12" w:name="X93a4ca3c1d319509261c5ffafb9ab268a27f62a"/>
    <w:p>
      <w:pPr>
        <w:pStyle w:val="Heading2"/>
      </w:pPr>
      <w:r>
        <w:t xml:space="preserve">Full-year guidance (raised at Q2) — the framework to test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FY26 Guidance</w:t>
            </w:r>
          </w:p>
        </w:tc>
        <w:tc>
          <w:tcPr/>
          <w:p>
            <w:pPr>
              <w:pStyle w:val="Compact"/>
            </w:pPr>
            <w:r>
              <w:t xml:space="preserve">Current</w:t>
            </w:r>
          </w:p>
        </w:tc>
        <w:tc>
          <w:tcPr/>
          <w:p>
            <w:pPr>
              <w:pStyle w:val="Compact"/>
            </w:pPr>
            <w:r>
              <w:t xml:space="preserve">FY25 Actual</w:t>
            </w:r>
          </w:p>
        </w:tc>
      </w:tr>
      <w:tr>
        <w:tc>
          <w:tcPr/>
          <w:p>
            <w:pPr>
              <w:pStyle w:val="Compact"/>
            </w:pPr>
            <w:r>
              <w:t xml:space="preserve">Revenue growth</w:t>
            </w:r>
          </w:p>
        </w:tc>
        <w:tc>
          <w:tcPr/>
          <w:p>
            <w:pPr>
              <w:pStyle w:val="Compact"/>
            </w:pPr>
            <w:r>
              <w:rPr>
                <w:b/>
                <w:bCs/>
              </w:rPr>
              <w:t xml:space="preserve">4–6%</w:t>
            </w:r>
            <w:r>
              <w:t xml:space="preserve"> </w:t>
            </w:r>
            <w:r>
              <w:t xml:space="preserve">(cut from 7–9%)</w:t>
            </w:r>
          </w:p>
        </w:tc>
        <w:tc>
          <w:tcPr/>
          <w:p>
            <w:pPr>
              <w:pStyle w:val="Compact"/>
            </w:pPr>
            <w:r>
              <w:t xml:space="preserve">$321.3B</w:t>
            </w:r>
          </w:p>
        </w:tc>
      </w:tr>
      <w:tr>
        <w:tc>
          <w:tcPr/>
          <w:p>
            <w:pPr>
              <w:pStyle w:val="Compact"/>
            </w:pPr>
            <w:r>
              <w:t xml:space="preserve">— U.S. Healthcare</w:t>
            </w:r>
          </w:p>
        </w:tc>
        <w:tc>
          <w:tcPr/>
          <w:p>
            <w:pPr>
              <w:pStyle w:val="Compact"/>
            </w:pPr>
            <w:r>
              <w:t xml:space="preserve">4–6%</w:t>
            </w:r>
          </w:p>
        </w:tc>
        <w:tc>
          <w:tcPr/>
          <w:p>
            <w:pPr>
              <w:pStyle w:val="Compact"/>
            </w:pPr>
            <w:r>
              <w:t xml:space="preserve">$285.0B</w:t>
            </w:r>
          </w:p>
        </w:tc>
      </w:tr>
      <w:tr>
        <w:tc>
          <w:tcPr/>
          <w:p>
            <w:pPr>
              <w:pStyle w:val="Compact"/>
            </w:pPr>
            <w:r>
              <w:t xml:space="preserve">— International</w:t>
            </w:r>
          </w:p>
        </w:tc>
        <w:tc>
          <w:tcPr/>
          <w:p>
            <w:pPr>
              <w:pStyle w:val="Compact"/>
            </w:pPr>
            <w:r>
              <w:t xml:space="preserve">8–10% (as-reported)</w:t>
            </w:r>
          </w:p>
        </w:tc>
        <w:tc>
          <w:tcPr/>
          <w:p>
            <w:pPr>
              <w:pStyle w:val="Compact"/>
            </w:pPr>
            <w:r>
              <w:t xml:space="preserve">$28.3B</w:t>
            </w:r>
          </w:p>
        </w:tc>
      </w:tr>
      <w:tr>
        <w:tc>
          <w:tcPr/>
          <w:p>
            <w:pPr>
              <w:pStyle w:val="Compact"/>
            </w:pPr>
            <w:r>
              <w:t xml:space="preserve">Adjusted operating income growth</w:t>
            </w:r>
          </w:p>
        </w:tc>
        <w:tc>
          <w:tcPr/>
          <w:p>
            <w:pPr>
              <w:pStyle w:val="Compact"/>
            </w:pPr>
            <w:r>
              <w:rPr>
                <w:b/>
                <w:bCs/>
              </w:rPr>
              <w:t xml:space="preserve">12–14%</w:t>
            </w:r>
          </w:p>
        </w:tc>
        <w:tc>
          <w:tcPr/>
          <w:p>
            <w:pPr>
              <w:pStyle w:val="Compact"/>
            </w:pPr>
            <w:r>
              <w:t xml:space="preserve">$4.2B</w:t>
            </w:r>
          </w:p>
        </w:tc>
      </w:tr>
      <w:tr>
        <w:tc>
          <w:tcPr/>
          <w:p>
            <w:pPr>
              <w:pStyle w:val="Compact"/>
            </w:pPr>
            <w:r>
              <w:t xml:space="preserve">— U.S. Healthcare OI</w:t>
            </w:r>
          </w:p>
        </w:tc>
        <w:tc>
          <w:tcPr/>
          <w:p>
            <w:pPr>
              <w:pStyle w:val="Compact"/>
            </w:pPr>
            <w:r>
              <w:rPr>
                <w:b/>
                <w:bCs/>
              </w:rPr>
              <w:t xml:space="preserve">14–16%</w:t>
            </w:r>
          </w:p>
        </w:tc>
        <w:tc>
          <w:tcPr/>
          <w:p>
            <w:pPr>
              <w:pStyle w:val="Compact"/>
            </w:pPr>
            <w:r>
              <w:t xml:space="preserve">$3.3B</w:t>
            </w:r>
          </w:p>
        </w:tc>
      </w:tr>
      <w:tr>
        <w:tc>
          <w:tcPr/>
          <w:p>
            <w:pPr>
              <w:pStyle w:val="Compact"/>
            </w:pPr>
            <w:r>
              <w:t xml:space="preserve">— International OI</w:t>
            </w:r>
          </w:p>
        </w:tc>
        <w:tc>
          <w:tcPr/>
          <w:p>
            <w:pPr>
              <w:pStyle w:val="Compact"/>
            </w:pPr>
            <w:r>
              <w:t xml:space="preserve">5–8%</w:t>
            </w:r>
          </w:p>
        </w:tc>
        <w:tc>
          <w:tcPr/>
          <w:p>
            <w:pPr>
              <w:pStyle w:val="Compact"/>
            </w:pPr>
            <w:r>
              <w:t xml:space="preserve">$588M</w:t>
            </w:r>
          </w:p>
        </w:tc>
      </w:tr>
      <w:tr>
        <w:tc>
          <w:tcPr/>
          <w:p>
            <w:pPr>
              <w:pStyle w:val="Compact"/>
            </w:pPr>
            <w:r>
              <w:t xml:space="preserve">Adjusted diluted EPS</w:t>
            </w:r>
          </w:p>
        </w:tc>
        <w:tc>
          <w:tcPr/>
          <w:p>
            <w:pPr>
              <w:pStyle w:val="Compact"/>
            </w:pPr>
            <m:oMath>
              <m:r>
                <m:t>17.65</m:t>
              </m:r>
              <m:r>
                <m:rPr>
                  <m:sty m:val="p"/>
                </m:rPr>
                <m:t>–</m:t>
              </m:r>
            </m:oMath>
            <w:r>
              <w:rPr>
                <w:b/>
                <w:bCs/>
              </w:rPr>
              <w:t xml:space="preserve">17.90</w:t>
            </w:r>
          </w:p>
        </w:tc>
        <w:tc>
          <w:tcPr/>
          <w:p>
            <w:pPr>
              <w:pStyle w:val="Compact"/>
            </w:pPr>
            <w:r>
              <w:t xml:space="preserve">$16.00</w:t>
            </w:r>
          </w:p>
        </w:tc>
      </w:tr>
      <w:tr>
        <w:tc>
          <w:tcPr/>
          <w:p>
            <w:pPr>
              <w:pStyle w:val="Compact"/>
            </w:pPr>
            <w:r>
              <w:t xml:space="preserve">Net interest expense</w:t>
            </w:r>
          </w:p>
        </w:tc>
        <w:tc>
          <w:tcPr/>
          <w:p>
            <w:pPr>
              <w:pStyle w:val="Compact"/>
            </w:pPr>
            <w:r>
              <w:t xml:space="preserve">~$485M</w:t>
            </w:r>
          </w:p>
        </w:tc>
        <w:tc>
          <w:tcPr/>
          <w:p>
            <w:pPr>
              <w:pStyle w:val="Compact"/>
            </w:pPr>
            <w:r>
              <w:t xml:space="preserve">$292M</w:t>
            </w:r>
          </w:p>
        </w:tc>
      </w:tr>
      <w:tr>
        <w:tc>
          <w:tcPr/>
          <w:p>
            <w:pPr>
              <w:pStyle w:val="Compact"/>
            </w:pPr>
            <w:r>
              <w:t xml:space="preserve">Adj. FCF</w:t>
            </w:r>
          </w:p>
        </w:tc>
        <w:tc>
          <w:tcPr/>
          <w:p>
            <w:pPr>
              <w:pStyle w:val="Compact"/>
            </w:pPr>
            <w:r>
              <w:t xml:space="preserve">~$3.0B</w:t>
            </w:r>
          </w:p>
        </w:tc>
        <w:tc>
          <w:tcPr/>
          <w:p>
            <w:pPr>
              <w:pStyle w:val="Compact"/>
            </w:pPr>
            <w:r>
              <w:t xml:space="preserve">$3.0B</w:t>
            </w:r>
          </w:p>
        </w:tc>
      </w:tr>
    </w:tbl>
    <w:p>
      <w:pPr>
        <w:pStyle w:val="BodyText"/>
      </w:pPr>
      <w:r>
        <w:rPr>
          <w:b/>
          <w:bCs/>
        </w:rPr>
        <w:t xml:space="preserve">Key nuance:</w:t>
      </w:r>
      <w:r>
        <w:t xml:space="preserve"> </w:t>
      </w:r>
      <w:r>
        <w:t xml:space="preserve">the Q2 revenue cut was</w:t>
      </w:r>
      <w:r>
        <w:t xml:space="preserve"> </w:t>
      </w:r>
      <w:r>
        <w:rPr>
          <w:i/>
          <w:iCs/>
        </w:rPr>
        <w:t xml:space="preserve">not</w:t>
      </w:r>
      <w:r>
        <w:t xml:space="preserve"> </w:t>
      </w:r>
      <w:r>
        <w:t xml:space="preserve">an earnings cut. Management stressed COR guides on</w:t>
      </w:r>
      <w:r>
        <w:t xml:space="preserve"> </w:t>
      </w:r>
      <w:r>
        <w:rPr>
          <w:b/>
          <w:bCs/>
        </w:rPr>
        <w:t xml:space="preserve">operating income</w:t>
      </w:r>
      <w:r>
        <w:t xml:space="preserve">, and the revenue misses (manufacturer WAC price reductions, faster brand→biosimilar conversions at a large mail-order customer, slower GLP-1 growth) are</w:t>
      </w:r>
      <w:r>
        <w:t xml:space="preserve"> </w:t>
      </w:r>
      <w:r>
        <w:rPr>
          <w:b/>
          <w:bCs/>
        </w:rPr>
        <w:t xml:space="preserve">low-margin activities</w:t>
      </w:r>
      <w:r>
        <w:t xml:space="preserve"> </w:t>
      </w:r>
      <w:r>
        <w:t xml:space="preserve">with little OI impact. Watch whether they can raise EPS/OI guidance for a</w:t>
      </w:r>
      <w:r>
        <w:t xml:space="preserve"> </w:t>
      </w:r>
      <w:r>
        <w:rPr>
          <w:i/>
          <w:iCs/>
        </w:rPr>
        <w:t xml:space="preserve">fourth straight quarter</w:t>
      </w:r>
      <w:r>
        <w:t xml:space="preserve"> </w:t>
      </w:r>
      <w:r>
        <w:t xml:space="preserve">— H1 tracked well, but the Q4-weighting leaves less room for a big Q3 raise.</w:t>
      </w:r>
    </w:p>
    <w:p>
      <w:r>
        <w:pict>
          <v:rect style="width:0;height:1.5pt" o:hralign="center" o:hrstd="t" o:hr="t"/>
        </w:pict>
      </w:r>
    </w:p>
    <w:bookmarkEnd w:id="12"/>
    <w:bookmarkStart w:id="13" w:name="what-to-watch--the-checklist"/>
    <w:p>
      <w:pPr>
        <w:pStyle w:val="Heading2"/>
      </w:pPr>
      <w:r>
        <w:t xml:space="preserve">What to watch — the checklist</w:t>
      </w:r>
    </w:p>
    <w:p>
      <w:pPr>
        <w:pStyle w:val="FirstParagraph"/>
      </w:pPr>
      <w:r>
        <w:rPr>
          <w:b/>
          <w:bCs/>
        </w:rPr>
        <w:t xml:space="preserve">1. U.S. Healthcare Solutions operating income (the whole ballgame).</w:t>
      </w:r>
      <w:r>
        <w:t xml:space="preserve"> </w:t>
      </w:r>
      <w:r>
        <w:t xml:space="preserve">Q2 core OI growth was ~7% ex-OneOncology/ex-lost customer, held back by ~</w:t>
      </w:r>
      <m:oMath>
        <m:r>
          <m:t>10</m:t>
        </m:r>
        <m:r>
          <m:t>M</m:t>
        </m:r>
        <m:r>
          <m:t>w</m:t>
        </m:r>
        <m:r>
          <m:t>e</m:t>
        </m:r>
        <m:r>
          <m:t>a</m:t>
        </m:r>
        <m:r>
          <m:t>t</m:t>
        </m:r>
        <m:r>
          <m:t>h</m:t>
        </m:r>
        <m:r>
          <m:t>e</m:t>
        </m:r>
        <m:r>
          <m:t>r</m:t>
        </m:r>
        <m:r>
          <m:t>a</m:t>
        </m:r>
        <m:r>
          <m:t>n</m:t>
        </m:r>
        <m:r>
          <m:t>d</m:t>
        </m:r>
        <m:r>
          <m:t> </m:t>
        </m:r>
      </m:oMath>
      <w:r>
        <w:t xml:space="preserve">10M COVID-vaccine headwinds that management called transitory (and said rebounded in March/April). Q3 should show cleaner underlying trends plus a full quarter of OneOncology. But remember Q3 is comping against a monster</w:t>
      </w:r>
      <w:r>
        <w:t xml:space="preserve"> </w:t>
      </w:r>
      <w:r>
        <w:rPr>
          <w:b/>
          <w:bCs/>
        </w:rPr>
        <w:t xml:space="preserve">+29.1%</w:t>
      </w:r>
      <w:r>
        <w:t xml:space="preserve"> </w:t>
      </w:r>
      <w:r>
        <w:t xml:space="preserve">US OI print from a year ago — the growth rate will look optically soft even if the dollars are fine.</w:t>
      </w:r>
    </w:p>
    <w:p>
      <w:pPr>
        <w:pStyle w:val="BodyText"/>
      </w:pPr>
      <w:r>
        <w:rPr>
          <w:b/>
          <w:bCs/>
        </w:rPr>
        <w:t xml:space="preserve">2. The interest-expense drag.</w:t>
      </w:r>
      <w:r>
        <w:t xml:space="preserve"> </w:t>
      </w:r>
      <w:r>
        <w:t xml:space="preserve">Don't confuse strong OI growth with weak EPS growth — the ~</w:t>
      </w:r>
      <m:oMath>
        <m:r>
          <m:t>58</m:t>
        </m:r>
        <m:r>
          <m:t>M</m:t>
        </m:r>
        <m:r>
          <m:t>Y</m:t>
        </m:r>
        <m:r>
          <m:t>o</m:t>
        </m:r>
        <m:r>
          <m:t>Y</m:t>
        </m:r>
        <m:r>
          <m:t>i</m:t>
        </m:r>
        <m:r>
          <m:t>n</m:t>
        </m:r>
        <m:r>
          <m:t>t</m:t>
        </m:r>
        <m:r>
          <m:t>e</m:t>
        </m:r>
        <m:r>
          <m:t>r</m:t>
        </m:r>
        <m:r>
          <m:t>e</m:t>
        </m:r>
        <m:r>
          <m:t>s</m:t>
        </m:r>
        <m:r>
          <m:t>t</m:t>
        </m:r>
        <m:r>
          <m:t>s</m:t>
        </m:r>
        <m:r>
          <m:t>t</m:t>
        </m:r>
        <m:r>
          <m:t>e</m:t>
        </m:r>
        <m:r>
          <m:t>p</m:t>
        </m:r>
        <m:r>
          <m:rPr>
            <m:sty m:val="p"/>
          </m:rPr>
          <m:t>−</m:t>
        </m:r>
        <m:r>
          <m:t>u</m:t>
        </m:r>
        <m:r>
          <m:t>p</m:t>
        </m:r>
        <m:r>
          <m:t>i</m:t>
        </m:r>
        <m:r>
          <m:t>s</m:t>
        </m:r>
        <m:r>
          <m:t>t</m:t>
        </m:r>
        <m:r>
          <m:t>h</m:t>
        </m:r>
        <m:r>
          <m:t>e</m:t>
        </m:r>
        <m:r>
          <m:t>c</m:t>
        </m:r>
        <m:r>
          <m:t>u</m:t>
        </m:r>
        <m:r>
          <m:t>l</m:t>
        </m:r>
        <m:r>
          <m:t>p</m:t>
        </m:r>
        <m:r>
          <m:t>r</m:t>
        </m:r>
        <m:r>
          <m:t>i</m:t>
        </m:r>
        <m:r>
          <m:t>t</m:t>
        </m:r>
        <m:r>
          <m:rPr>
            <m:sty m:val="p"/>
          </m:rPr>
          <m:t>,</m:t>
        </m:r>
        <m:r>
          <m:t>a</m:t>
        </m:r>
        <m:r>
          <m:t>n</m:t>
        </m:r>
        <m:r>
          <m:t>d</m:t>
        </m:r>
        <m:r>
          <m:t>i</m:t>
        </m:r>
        <m:sSup>
          <m:e>
            <m:r>
              <m:t>t</m:t>
            </m:r>
          </m:e>
          <m:sup>
            <m:r>
              <m:rPr>
                <m:sty m:val="p"/>
              </m:rPr>
              <m:t>′</m:t>
            </m:r>
          </m:sup>
        </m:sSup>
        <m:r>
          <m:t>s</m:t>
        </m:r>
        <m:r>
          <m:t>k</m:t>
        </m:r>
        <m:r>
          <m:t>n</m:t>
        </m:r>
        <m:r>
          <m:t>o</m:t>
        </m:r>
        <m:r>
          <m:t>w</m:t>
        </m:r>
        <m:r>
          <m:t>n</m:t>
        </m:r>
        <m:r>
          <m:rPr>
            <m:sty m:val="p"/>
          </m:rPr>
          <m:t>.</m:t>
        </m:r>
        <m:r>
          <m:t>F</m:t>
        </m:r>
        <m:r>
          <m:t>o</m:t>
        </m:r>
        <m:r>
          <m:t>c</m:t>
        </m:r>
        <m:r>
          <m:t>u</m:t>
        </m:r>
        <m:r>
          <m:t>s</m:t>
        </m:r>
        <m:r>
          <m:t>o</m:t>
        </m:r>
        <m:r>
          <m:t>n</m:t>
        </m:r>
        <m:r>
          <m:t>O</m:t>
        </m:r>
        <m:r>
          <m:t>I</m:t>
        </m:r>
        <m:r>
          <m:t>a</m:t>
        </m:r>
        <m:r>
          <m:t>n</m:t>
        </m:r>
        <m:r>
          <m:t>d</m:t>
        </m:r>
        <m:r>
          <m:t>t</m:t>
        </m:r>
        <m:r>
          <m:t>h</m:t>
        </m:r>
        <m:r>
          <m:t>e</m:t>
        </m:r>
        <m:r>
          <m:t>d</m:t>
        </m:r>
        <m:r>
          <m:t>e</m:t>
        </m:r>
        <m:r>
          <m:t>l</m:t>
        </m:r>
        <m:r>
          <m:t>e</m:t>
        </m:r>
        <m:r>
          <m:t>v</m:t>
        </m:r>
        <m:r>
          <m:t>e</m:t>
        </m:r>
        <m:r>
          <m:t>r</m:t>
        </m:r>
        <m:r>
          <m:t>a</m:t>
        </m:r>
        <m:r>
          <m:t>g</m:t>
        </m:r>
        <m:r>
          <m:t>i</m:t>
        </m:r>
        <m:r>
          <m:t>n</m:t>
        </m:r>
        <m:r>
          <m:t>g</m:t>
        </m:r>
        <m:r>
          <m:t>p</m:t>
        </m:r>
        <m:r>
          <m:t>r</m:t>
        </m:r>
        <m:r>
          <m:t>o</m:t>
        </m:r>
        <m:r>
          <m:t>g</m:t>
        </m:r>
        <m:r>
          <m:t>r</m:t>
        </m:r>
        <m:r>
          <m:t>e</m:t>
        </m:r>
        <m:r>
          <m:t>s</m:t>
        </m:r>
        <m:r>
          <m:t>s</m:t>
        </m:r>
        <m:r>
          <m:rPr>
            <m:sty m:val="p"/>
          </m:rPr>
          <m:t>(</m:t>
        </m:r>
      </m:oMath>
      <w:r>
        <w:t xml:space="preserve">1.3B of term-loan paydown planned this year; $500M+ done at Q2).</w:t>
      </w:r>
    </w:p>
    <w:p>
      <w:pPr>
        <w:pStyle w:val="BodyText"/>
      </w:pPr>
      <w:r>
        <w:rPr>
          <w:b/>
          <w:bCs/>
        </w:rPr>
        <w:t xml:space="preserve">3. Revenue optics vs. margin reality.</w:t>
      </w:r>
      <w:r>
        <w:t xml:space="preserve"> </w:t>
      </w:r>
      <w:r>
        <w:t xml:space="preserve">Expect continued commentary on (a)</w:t>
      </w:r>
      <w:r>
        <w:t xml:space="preserve"> </w:t>
      </w:r>
      <w:r>
        <w:rPr>
          <w:b/>
          <w:bCs/>
        </w:rPr>
        <w:t xml:space="preserve">GLP-1 deceleration</w:t>
      </w:r>
      <w:r>
        <w:t xml:space="preserve"> </w:t>
      </w:r>
      <w:r>
        <w:t xml:space="preserve">(a 5-pt growth delta ≈ ~$2B revenue), (b)</w:t>
      </w:r>
      <w:r>
        <w:t xml:space="preserve"> </w:t>
      </w:r>
      <w:r>
        <w:rPr>
          <w:b/>
          <w:bCs/>
        </w:rPr>
        <w:t xml:space="preserve">brand→biosimilar conversions</w:t>
      </w:r>
      <w:r>
        <w:t xml:space="preserve"> </w:t>
      </w:r>
      <w:r>
        <w:t xml:space="preserve">at the large mail-order customer (revenue hit, negligible profit hit — and actually</w:t>
      </w:r>
      <w:r>
        <w:t xml:space="preserve"> </w:t>
      </w:r>
      <w:r>
        <w:rPr>
          <w:i/>
          <w:iCs/>
        </w:rPr>
        <w:t xml:space="preserve">margin-accretive</w:t>
      </w:r>
      <w:r>
        <w:t xml:space="preserve"> </w:t>
      </w:r>
      <w:r>
        <w:t xml:space="preserve">to the mix), and (c) WAC price reductions. Management's biosimilar framing matters: Part D conversions leave the channel (expected, low profit), while Part B biosimilar conversions are</w:t>
      </w:r>
      <w:r>
        <w:t xml:space="preserve"> </w:t>
      </w:r>
      <w:r>
        <w:rPr>
          <w:i/>
          <w:iCs/>
        </w:rPr>
        <w:t xml:space="preserve">incrementally positive</w:t>
      </w:r>
      <w:r>
        <w:t xml:space="preserve"> </w:t>
      </w:r>
      <w:r>
        <w:t xml:space="preserve">to COR and its physician practices.</w:t>
      </w:r>
    </w:p>
    <w:p>
      <w:pPr>
        <w:pStyle w:val="BodyText"/>
      </w:pPr>
      <w:r>
        <w:rPr>
          <w:b/>
          <w:bCs/>
        </w:rPr>
        <w:t xml:space="preserve">4. International / World Courier.</w:t>
      </w:r>
      <w:r>
        <w:t xml:space="preserve"> </w:t>
      </w:r>
      <w:r>
        <w:t xml:space="preserve">Global specialty logistics posted two consecutive quarters of OI growth into Q2, against an easy comp (Intl OI fell 12.9% in Q3 FY25). A third quarter of growth would reinforce the turnaround thesis; watch for volume growth, not just price/FX.</w:t>
      </w:r>
    </w:p>
    <w:p>
      <w:pPr>
        <w:pStyle w:val="BodyText"/>
      </w:pPr>
      <w:r>
        <w:rPr>
          <w:b/>
          <w:bCs/>
        </w:rPr>
        <w:t xml:space="preserve">5. Capital return &amp; the buyback restart.</w:t>
      </w:r>
      <w:r>
        <w:t xml:space="preserve"> </w:t>
      </w:r>
      <w:r>
        <w:t xml:space="preserve">COR announced resumption of</w:t>
      </w:r>
      <w:r>
        <w:t xml:space="preserve"> </w:t>
      </w:r>
      <w:r>
        <w:rPr>
          <w:b/>
          <w:bCs/>
        </w:rPr>
        <w:t xml:space="preserve">opportunistic repurchases — $1B by calendar year-end</w:t>
      </w:r>
      <w:r>
        <w:t xml:space="preserve">. Watch the pace and whether they lean in given the stock's May dip. Dividend was $0.60/quarter as of Q2.</w:t>
      </w:r>
    </w:p>
    <w:p>
      <w:pPr>
        <w:pStyle w:val="BodyText"/>
      </w:pPr>
      <w:r>
        <w:rPr>
          <w:b/>
          <w:bCs/>
        </w:rPr>
        <w:t xml:space="preserve">6. Portfolio reshaping.</w:t>
      </w:r>
      <w:r>
        <w:t xml:space="preserve"> </w:t>
      </w:r>
      <w:r>
        <w:t xml:space="preserve">Track the</w:t>
      </w:r>
      <w:r>
        <w:t xml:space="preserve"> </w:t>
      </w:r>
      <w:r>
        <w:rPr>
          <w:b/>
          <w:bCs/>
        </w:rPr>
        <w:t xml:space="preserve">MWI Animal Health / Covetrus merger</w:t>
      </w:r>
      <w:r>
        <w:t xml:space="preserve"> </w:t>
      </w:r>
      <w:r>
        <w:t xml:space="preserve">(MWI now "held for sale," which is inflating the "Other" segment OI via suspended depreciation), the</w:t>
      </w:r>
      <w:r>
        <w:t xml:space="preserve"> </w:t>
      </w:r>
      <w:r>
        <w:rPr>
          <w:b/>
          <w:bCs/>
        </w:rPr>
        <w:t xml:space="preserve">EyeSouth retina</w:t>
      </w:r>
      <w:r>
        <w:t xml:space="preserve"> </w:t>
      </w:r>
      <w:r>
        <w:t xml:space="preserve">tuck-in into RCA (not in FY26 guide), and OneOncology + RCA MSO integration synergies.</w:t>
      </w:r>
    </w:p>
    <w:p>
      <w:pPr>
        <w:pStyle w:val="BodyText"/>
      </w:pPr>
      <w:r>
        <w:rPr>
          <w:b/>
          <w:bCs/>
        </w:rPr>
        <w:t xml:space="preserve">7. New CFO's tone.</w:t>
      </w:r>
      <w:r>
        <w:t xml:space="preserve"> </w:t>
      </w:r>
      <w:r>
        <w:t xml:space="preserve">Eva Boratto's first call — listen for any reaffirmation/reframing of the</w:t>
      </w:r>
      <w:r>
        <w:t xml:space="preserve"> </w:t>
      </w:r>
      <w:r>
        <w:rPr>
          <w:b/>
          <w:bCs/>
        </w:rPr>
        <w:t xml:space="preserve">long-term algorithm</w:t>
      </w:r>
      <w:r>
        <w:t xml:space="preserve"> </w:t>
      </w:r>
      <w:r>
        <w:t xml:space="preserve">(7–10% organic OI growth, +3–4% from capital deployment, 10–14% EPS growth) and any changes to disclosure (several analysts have pushed for Part B vs. Part D profit-mix visibility).</w:t>
      </w:r>
    </w:p>
    <w:p>
      <w:pPr>
        <w:pStyle w:val="BodyText"/>
      </w:pPr>
      <w:r>
        <w:rPr>
          <w:b/>
          <w:bCs/>
        </w:rPr>
        <w:t xml:space="preserve">8. Policy overhang.</w:t>
      </w:r>
      <w:r>
        <w:t xml:space="preserve"> </w:t>
      </w:r>
      <w:r>
        <w:t xml:space="preserve">Drug-pricing/tariff dynamics (MFN, potential pharma tariffs, Medicare drug-negotiation changes) remain a sector-wide macro overhang for distributors, even if direct P&amp;L impact is limited. Any framing here could move the group (MCK/CAH).</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Going in,</w:t>
      </w:r>
      <w:r>
        <w:t xml:space="preserve"> </w:t>
      </w:r>
      <w:r>
        <w:rPr>
          <w:b/>
          <w:bCs/>
        </w:rPr>
        <w:t xml:space="preserve">Q3 is set up to be the "quiet" quarter of FY26</w:t>
      </w:r>
      <w:r>
        <w:t xml:space="preserve"> </w:t>
      </w:r>
      <w:r>
        <w:t xml:space="preserve">— deliberately so. Management pre-committed to only high-single-digit EPS growth (interest-expense-driven), with the real acceleration saved for Q4 as it laps the oncology-customer loss and OneOncology accretion peaks. With the stock having fully recovered its post-Q2 drop, the risk is asymmetric: an in-line print with reaffirmed (not raised) guidance may underwhelm a re-rated stock, while the bull case rests on</w:t>
      </w:r>
      <w:r>
        <w:t xml:space="preserve"> </w:t>
      </w:r>
      <w:r>
        <w:rPr>
          <w:b/>
          <w:bCs/>
        </w:rPr>
        <w:t xml:space="preserve">clean core U.S. OI trends, a fourth consecutive OI/EPS guidance raise, continued World Courier momentum, and a confident debut from the new CFO.</w:t>
      </w:r>
      <w:r>
        <w:t xml:space="preserve"> </w:t>
      </w:r>
      <w:r>
        <w:t xml:space="preserve">Revenue will again look soft — but that's the wrong number to fixate on; operating income and the credibility of the Q4 ramp are what matter.</w:t>
      </w:r>
    </w:p>
    <w:p>
      <w:pPr>
        <w:pStyle w:val="BodyText"/>
      </w:pPr>
      <w:r>
        <w:rPr>
          <w:i/>
          <w:iCs/>
        </w:rPr>
        <w:t xml:space="preserve">Note: figures above are drawn from Cencora's fiscal Q2 2026 and Q3 2025 earnings releases/calls and management's stated Q3 FY26 cadence guidance; "implied" Q3 EPS is my estimate from management's high-single-digit growth commentary, not a published consensus.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2026-08-05T00:25:47Z</dcterms:created>
  <dcterms:modified xsi:type="dcterms:W3CDTF">2026-08-05T00:25:47Z</dcterms:modified>
</cp:coreProperties>
</file>

<file path=docProps/custom.xml><?xml version="1.0" encoding="utf-8"?>
<Properties xmlns="http://schemas.openxmlformats.org/officeDocument/2006/custom-properties" xmlns:vt="http://schemas.openxmlformats.org/officeDocument/2006/docPropsVTypes"/>
</file>