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r-earnings-predictions--2026-08-05"/>
    <w:p>
      <w:pPr>
        <w:pStyle w:val="Heading1"/>
      </w:pPr>
      <w:r>
        <w:t xml:space="preserve">COR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~$4.42 vs. cons $4.37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(Q3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~$83.4B vs. cons $84.89B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Healthcare Solutions Segment Revenue (Q3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~$73.8B vs. cons $75.0B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17.85</m:t>
              </m:r>
              <m:r>
                <m:rPr>
                  <m:sty m:val="p"/>
                </m:rPr>
                <m:t>−</m:t>
              </m:r>
            </m:oMath>
            <w:r>
              <w:t xml:space="preserve">18.05 (mid $17.95) vs. cons $17.85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~5% (4-6% range reaffirmed) vs. cons ~5.1%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Healthcare Solutions operating income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~15% (14-16% range reaffirmed) vs. cons ~14%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An EPS beat driven mainly by buybacks/cost control plus reaffirmed (not raised) FY revenue guidance should spark an initial relief rally given the stock's pre-print underperformance vs. SPY (-4% into the print) and post-May de-risked positioning. But this would be the third straight quarter of revenue undershoot on WAC/IRA, mail-order biosimilar mix-shift and decelerating GLP-1 growth, so sell-side analysts are likely to trim FY27/out-period organic revenue and gross-profit-dollar assumptions even while nudging EPS estimates up for the buyback tailwind — a classic 'lower-quality beat' pattern that fades initial upside over the week as the implicit revenue-guide cut (still officially 4-6% but tracking toward the low end) gets modeled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2026-08-05T00:24:28Z</dcterms:created>
  <dcterms:modified xsi:type="dcterms:W3CDTF">2026-08-05T00:24:28Z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