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or-earnings-predictions--2026-08-05"/>
    <w:p>
      <w:pPr>
        <w:pStyle w:val="Heading1"/>
      </w:pPr>
      <w:r>
        <w:t xml:space="preserve">COR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 (fiscal 2026 Q3)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~$4.42 vs. cons $4.35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(fiscal 2026 Q3)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~$83.2B vs. cons $84.1B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U.S. Healthcare Solutions segment operating income (fiscal 2026 Q3)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~$980M vs. cons $965M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~$17.83 vs. cons $17.79 (fiscal 2026 midpoint)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~4.5% vs. cons 4.9% (fiscal 2026 midpoint)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U.S. Healthcare Solutions operating-income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~15.0% vs. cons 15.0% (fiscal 2026 midpoint)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free cash flow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~$3.0B vs. cons $3.0B (fiscal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+2.4%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+3.1% (FOLLOW-THROUGH)</w:t>
            </w:r>
          </w:p>
        </w:tc>
        <w:tc>
          <w:tcPr/>
          <w:p>
            <w:pPr>
              <w:pStyle w:val="Compact"/>
            </w:pPr>
            <w:r>
              <w:t xml:space="preserve">The predicted fiscal 2026 EPS-guide midpoint of ~$17.83 versus consensus of</w:t>
            </w:r>
            <w:r>
              <w:t xml:space="preserve"> </w:t>
            </w:r>
            <m:oMath>
              <m:r>
                <m:t>17.79</m:t>
              </m:r>
              <m:r>
                <m:rPr>
                  <m:sty m:val="p"/>
                </m:rPr>
                <m:t>,</m:t>
              </m:r>
              <m:r>
                <m:t>c</m:t>
              </m:r>
              <m:r>
                <m:t>o</m:t>
              </m:r>
              <m:r>
                <m:t>m</m:t>
              </m:r>
              <m:r>
                <m:t>b</m:t>
              </m:r>
              <m:r>
                <m:t>i</m:t>
              </m:r>
              <m:r>
                <m:t>n</m:t>
              </m:r>
              <m:r>
                <m:t>e</m:t>
              </m:r>
              <m:r>
                <m:t>d</m:t>
              </m:r>
              <m:r>
                <m:t>w</m:t>
              </m:r>
              <m:r>
                <m:t>i</m:t>
              </m:r>
              <m:r>
                <m:t>t</m:t>
              </m:r>
              <m:r>
                <m:t>h</m:t>
              </m:r>
              <m:r>
                <m:t>p</m:t>
              </m:r>
              <m:r>
                <m:t>r</m:t>
              </m:r>
              <m:r>
                <m:t>e</m:t>
              </m:r>
              <m:r>
                <m:t>d</m:t>
              </m:r>
              <m:r>
                <m:t>i</m:t>
              </m:r>
              <m:r>
                <m:t>c</m:t>
              </m:r>
              <m:r>
                <m:t>t</m:t>
              </m:r>
              <m:r>
                <m:t>e</m:t>
              </m:r>
              <m:r>
                <m:t>d</m:t>
              </m:r>
              <m:r>
                <m:t>Q</m:t>
              </m:r>
              <m:r>
                <m:t>3</m:t>
              </m:r>
              <m:r>
                <m:t>E</m:t>
              </m:r>
              <m:r>
                <m:t>P</m:t>
              </m:r>
              <m:r>
                <m:t>S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4.42, implies fiscal Q4 EPS of roughly $4.58 versus consensus near $4.53. That modestly positive out-period math should support upward revisions after the initial relief rally, while the revenue-guide reduction is likely discounted as predominantly low-margin mix pressure.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2026-08-05T00:25:34Z</dcterms:created>
  <dcterms:modified xsi:type="dcterms:W3CDTF">2026-08-05T00:25:34Z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