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cencora-fiscal-2026-q3-earnings-preview"/>
    <w:p>
      <w:pPr>
        <w:pStyle w:val="Heading1"/>
      </w:pPr>
      <w:r>
        <w:t xml:space="preserve">Cencora Fiscal 2026 Q3 Earnings Preview</w:t>
      </w:r>
    </w:p>
    <w:p>
      <w:pPr>
        <w:pStyle w:val="BlockText"/>
      </w:pPr>
      <w:r>
        <w:rPr>
          <w:b/>
          <w:bCs/>
        </w:rPr>
        <w:t xml:space="preserve">Timing note:</w:t>
      </w:r>
      <w:r>
        <w:t xml:space="preserve"> </w:t>
      </w:r>
      <w:r>
        <w:t xml:space="preserve">Cencora scheduled its fiscal Q3 results and earnings call for</w:t>
      </w:r>
      <w:r>
        <w:t xml:space="preserve"> </w:t>
      </w:r>
      <w:r>
        <w:rPr>
          <w:b/>
          <w:bCs/>
        </w:rPr>
        <w:t xml:space="preserve">Wednesday, August 5, 2026, before the market opens</w:t>
      </w:r>
      <w:r>
        <w:t xml:space="preserve">, with the call at 8:30 a.m. ET. Because August 5 is the current date, the report is scheduled for</w:t>
      </w:r>
      <w:r>
        <w:t xml:space="preserve"> </w:t>
      </w:r>
      <w:r>
        <w:rPr>
          <w:b/>
          <w:bCs/>
        </w:rPr>
        <w:t xml:space="preserve">today—not tomorrow</w:t>
      </w:r>
      <w:r>
        <w:t xml:space="preserve">. This preview uses information available through the August 4 market close and does not incorporate the Q3 release.</w:t>
      </w:r>
    </w:p>
    <w:bookmarkStart w:id="9" w:name="investment-setup"/>
    <w:p>
      <w:pPr>
        <w:pStyle w:val="Heading2"/>
      </w:pPr>
      <w:r>
        <w:t xml:space="preserve">Investment setup</w:t>
      </w:r>
    </w:p>
    <w:p>
      <w:pPr>
        <w:pStyle w:val="FirstParagraph"/>
      </w:pPr>
      <w:r>
        <w:t xml:space="preserve">Cencora enters the quarter needing to restore confidence after an unusual fiscal Q2: adjusted EPS increased and full-year EPS guidance was raised, but the company sharply reduced its revenue outlook because of manufacturer price reductions, faster brand-to-biosimilar conversions at a large mail-order customer, and slower-than-expected GLP-1 growth.</w:t>
      </w:r>
    </w:p>
    <w:p>
      <w:pPr>
        <w:pStyle w:val="BodyText"/>
      </w:pPr>
      <w:r>
        <w:t xml:space="preserve">Investors treated the revenue reset as evidence that underlying growth might be slowing. The shares fell approximately</w:t>
      </w:r>
      <w:r>
        <w:t xml:space="preserve"> </w:t>
      </w:r>
      <w:r>
        <w:rPr>
          <w:b/>
          <w:bCs/>
        </w:rPr>
        <w:t xml:space="preserve">17% on May 6</w:t>
      </w:r>
      <w:r>
        <w:t xml:space="preserve">, the day of the Q2 report. At</w:t>
      </w:r>
      <w:r>
        <w:t xml:space="preserve"> </w:t>
      </w:r>
      <w:r>
        <w:rPr>
          <w:b/>
          <w:bCs/>
        </w:rPr>
        <w:t xml:space="preserve">$306.32 on August 4</w:t>
      </w:r>
      <w:r>
        <w:t xml:space="preserve">, the stock had recovered roughly 21% from that selloff but remained about 18% below its March high and was effectively back near its pre-Q2-report price.</w:t>
      </w:r>
    </w:p>
    <w:p>
      <w:pPr>
        <w:pStyle w:val="BodyText"/>
      </w:pPr>
      <w:r>
        <w:t xml:space="preserve">The Q3 debate is therefore less about whether reported revenue growth looks impressive and more about whether Cencora can demonstrate that:</w:t>
      </w:r>
    </w:p>
    <w:p>
      <w:pPr>
        <w:pStyle w:val="Compact"/>
        <w:numPr>
          <w:ilvl w:val="0"/>
          <w:numId w:val="1001"/>
        </w:numPr>
      </w:pPr>
      <w:r>
        <w:t xml:space="preserve">Revenue pressure remains concentrated in low-margin business.</w:t>
      </w:r>
    </w:p>
    <w:p>
      <w:pPr>
        <w:pStyle w:val="Compact"/>
        <w:numPr>
          <w:ilvl w:val="0"/>
          <w:numId w:val="1001"/>
        </w:numPr>
      </w:pPr>
      <w:r>
        <w:t xml:space="preserve">Core U.S. operating-income growth is intact.</w:t>
      </w:r>
    </w:p>
    <w:p>
      <w:pPr>
        <w:pStyle w:val="Compact"/>
        <w:numPr>
          <w:ilvl w:val="0"/>
          <w:numId w:val="1001"/>
        </w:numPr>
      </w:pPr>
      <w:r>
        <w:t xml:space="preserve">OneOncology is beginning to contribute as promised.</w:t>
      </w:r>
    </w:p>
    <w:p>
      <w:pPr>
        <w:pStyle w:val="Compact"/>
        <w:numPr>
          <w:ilvl w:val="0"/>
          <w:numId w:val="1001"/>
        </w:numPr>
      </w:pPr>
      <w:r>
        <w:t xml:space="preserve">International specialty logistics continues its recovery.</w:t>
      </w:r>
    </w:p>
    <w:p>
      <w:pPr>
        <w:pStyle w:val="Compact"/>
        <w:numPr>
          <w:ilvl w:val="0"/>
          <w:numId w:val="1001"/>
        </w:numPr>
      </w:pPr>
      <w:r>
        <w:t xml:space="preserve">Full-year EPS and cash-flow targets remain achievable.</w:t>
      </w:r>
    </w:p>
    <w:bookmarkEnd w:id="9"/>
    <w:bookmarkStart w:id="10" w:name="the-key-financial-hurdle"/>
    <w:p>
      <w:pPr>
        <w:pStyle w:val="Heading2"/>
      </w:pPr>
      <w:r>
        <w:t xml:space="preserve">The key financial hurdle</w:t>
      </w:r>
    </w:p>
    <w:p>
      <w:pPr>
        <w:pStyle w:val="FirstParagraph"/>
      </w:pPr>
      <w:r>
        <w:t xml:space="preserve">Cencora’s fiscal Q2 guidance called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Fiscal 2026 metric</w:t>
            </w:r>
          </w:p>
        </w:tc>
        <w:tc>
          <w:tcPr/>
          <w:p>
            <w:pPr>
              <w:pStyle w:val="Compact"/>
              <w:jc w:val="right"/>
            </w:pPr>
            <w:r>
              <w:t xml:space="preserve">Current guidance</w:t>
            </w:r>
          </w:p>
        </w:tc>
      </w:tr>
      <w:tr>
        <w:tc>
          <w:tcPr/>
          <w:p>
            <w:pPr>
              <w:pStyle w:val="Compact"/>
            </w:pPr>
            <w:r>
              <w:t xml:space="preserve">Revenue growth</w:t>
            </w:r>
          </w:p>
        </w:tc>
        <w:tc>
          <w:tcPr/>
          <w:p>
            <w:pPr>
              <w:pStyle w:val="Compact"/>
              <w:jc w:val="right"/>
            </w:pPr>
            <w:r>
              <w:t xml:space="preserve">4%–6%</w:t>
            </w:r>
          </w:p>
        </w:tc>
      </w:tr>
      <w:tr>
        <w:tc>
          <w:tcPr/>
          <w:p>
            <w:pPr>
              <w:pStyle w:val="Compact"/>
            </w:pPr>
            <w:r>
              <w:t xml:space="preserve">Adjusted operating-income growth</w:t>
            </w:r>
          </w:p>
        </w:tc>
        <w:tc>
          <w:tcPr/>
          <w:p>
            <w:pPr>
              <w:pStyle w:val="Compact"/>
              <w:jc w:val="right"/>
            </w:pPr>
            <w:r>
              <w:t xml:space="preserve">12%–14%</w:t>
            </w:r>
          </w:p>
        </w:tc>
      </w:tr>
      <w:tr>
        <w:tc>
          <w:tcPr/>
          <w:p>
            <w:pPr>
              <w:pStyle w:val="Compact"/>
            </w:pPr>
            <w:r>
              <w:t xml:space="preserve">U.S. Healthcare Solutions operating-income growth</w:t>
            </w:r>
          </w:p>
        </w:tc>
        <w:tc>
          <w:tcPr/>
          <w:p>
            <w:pPr>
              <w:pStyle w:val="Compact"/>
              <w:jc w:val="right"/>
            </w:pPr>
            <w:r>
              <w:t xml:space="preserve">14%–16%</w:t>
            </w:r>
          </w:p>
        </w:tc>
      </w:tr>
      <w:tr>
        <w:tc>
          <w:tcPr/>
          <w:p>
            <w:pPr>
              <w:pStyle w:val="Compact"/>
            </w:pPr>
            <w:r>
              <w:t xml:space="preserve">International operating-income growth</w:t>
            </w:r>
          </w:p>
        </w:tc>
        <w:tc>
          <w:tcPr/>
          <w:p>
            <w:pPr>
              <w:pStyle w:val="Compact"/>
              <w:jc w:val="right"/>
            </w:pPr>
            <w:r>
              <w:t xml:space="preserve">5%–8%</w:t>
            </w:r>
          </w:p>
        </w:tc>
      </w:tr>
      <w:tr>
        <w:tc>
          <w:tcPr/>
          <w:p>
            <w:pPr>
              <w:pStyle w:val="Compact"/>
            </w:pPr>
            <w:r>
              <w:t xml:space="preserve">Adjusted diluted EPS</w:t>
            </w:r>
          </w:p>
        </w:tc>
        <w:tc>
          <w:tcPr/>
          <w:p>
            <w:pPr>
              <w:pStyle w:val="Compact"/>
              <w:jc w:val="right"/>
            </w:pPr>
            <m:oMath>
              <m:r>
                <m:t>17.65</m:t>
              </m:r>
              <m:r>
                <m:rPr>
                  <m:sty m:val="p"/>
                </m:rPr>
                <m:t>–</m:t>
              </m:r>
            </m:oMath>
            <w:r>
              <w:t xml:space="preserve">17.90</w:t>
            </w:r>
          </w:p>
        </w:tc>
      </w:tr>
      <w:tr>
        <w:tc>
          <w:tcPr/>
          <w:p>
            <w:pPr>
              <w:pStyle w:val="Compact"/>
            </w:pPr>
            <w:r>
              <w:t xml:space="preserve">Adjusted free cash flow</w:t>
            </w:r>
          </w:p>
        </w:tc>
        <w:tc>
          <w:tcPr/>
          <w:p>
            <w:pPr>
              <w:pStyle w:val="Compact"/>
              <w:jc w:val="right"/>
            </w:pPr>
            <w:r>
              <w:t xml:space="preserve">Approximately $3.0 billion</w:t>
            </w:r>
          </w:p>
        </w:tc>
      </w:tr>
      <w:tr>
        <w:tc>
          <w:tcPr/>
          <w:p>
            <w:pPr>
              <w:pStyle w:val="Compact"/>
            </w:pPr>
            <w:r>
              <w:t xml:space="preserve">Net interest expense</w:t>
            </w:r>
          </w:p>
        </w:tc>
        <w:tc>
          <w:tcPr/>
          <w:p>
            <w:pPr>
              <w:pStyle w:val="Compact"/>
              <w:jc w:val="right"/>
            </w:pPr>
            <w:r>
              <w:t xml:space="preserve">Approximately $485 million</w:t>
            </w:r>
          </w:p>
        </w:tc>
      </w:tr>
      <w:tr>
        <w:tc>
          <w:tcPr/>
          <w:p>
            <w:pPr>
              <w:pStyle w:val="Compact"/>
            </w:pPr>
            <w:r>
              <w:t xml:space="preserve">Diluted share count</w:t>
            </w:r>
          </w:p>
        </w:tc>
        <w:tc>
          <w:tcPr/>
          <w:p>
            <w:pPr>
              <w:pStyle w:val="Compact"/>
              <w:jc w:val="right"/>
            </w:pPr>
            <w:r>
              <w:t xml:space="preserve">Below 195.5 million</w:t>
            </w:r>
          </w:p>
        </w:tc>
      </w:tr>
    </w:tbl>
    <w:p>
      <w:pPr>
        <w:pStyle w:val="BodyText"/>
      </w:pPr>
      <w:r>
        <w:t xml:space="preserve">Management also specifically forecast</w:t>
      </w:r>
      <w:r>
        <w:t xml:space="preserve"> </w:t>
      </w:r>
      <w:r>
        <w:rPr>
          <w:b/>
          <w:bCs/>
        </w:rPr>
        <w:t xml:space="preserve">high-single-digit adjusted EPS growth in Q3</w:t>
      </w:r>
      <w:r>
        <w:t xml:space="preserve">. Against prior-year Q3 adjusted EPS of</w:t>
      </w:r>
      <w:r>
        <w:t xml:space="preserve"> </w:t>
      </w:r>
      <m:oMath>
        <m:r>
          <m:t>4.00</m:t>
        </m:r>
        <m:r>
          <m:rPr>
            <m:sty m:val="p"/>
          </m:rPr>
          <m:t>,</m:t>
        </m:r>
        <m:r>
          <m:t>t</m:t>
        </m:r>
        <m:r>
          <m:t>h</m:t>
        </m:r>
        <m:r>
          <m:t>a</m:t>
        </m:r>
        <m:r>
          <m:t>t</m:t>
        </m:r>
        <m:r>
          <m:t>p</m:t>
        </m:r>
        <m:r>
          <m:t>o</m:t>
        </m:r>
        <m:r>
          <m:t>i</m:t>
        </m:r>
        <m:r>
          <m:t>n</m:t>
        </m:r>
        <m:r>
          <m:t>t</m:t>
        </m:r>
        <m:r>
          <m:t>s</m:t>
        </m:r>
        <m:r>
          <m:t>t</m:t>
        </m:r>
        <m:r>
          <m:t>o</m:t>
        </m:r>
        <m:r>
          <m:t>a</m:t>
        </m:r>
        <m:r>
          <m:t>c</m:t>
        </m:r>
        <m:r>
          <m:t>o</m:t>
        </m:r>
        <m:r>
          <m:t>m</m:t>
        </m:r>
        <m:r>
          <m:t>p</m:t>
        </m:r>
        <m:r>
          <m:t>a</m:t>
        </m:r>
        <m:r>
          <m:t>n</m:t>
        </m:r>
        <m:r>
          <m:t>y</m:t>
        </m:r>
        <m:r>
          <m:rPr>
            <m:sty m:val="p"/>
          </m:rPr>
          <m:t>−</m:t>
        </m:r>
        <m:r>
          <m:t>i</m:t>
        </m:r>
        <m:r>
          <m:t>m</m:t>
        </m:r>
        <m:r>
          <m:t>p</m:t>
        </m:r>
        <m:r>
          <m:t>l</m:t>
        </m:r>
        <m:r>
          <m:t>i</m:t>
        </m:r>
        <m:r>
          <m:t>e</m:t>
        </m:r>
        <m:r>
          <m:t>d</m:t>
        </m:r>
        <m:r>
          <m:t>r</m:t>
        </m:r>
        <m:r>
          <m:t>e</m:t>
        </m:r>
        <m:r>
          <m:t>s</m:t>
        </m:r>
        <m:r>
          <m:t>u</m:t>
        </m:r>
        <m:r>
          <m:t>l</m:t>
        </m:r>
        <m:r>
          <m:t>t</m:t>
        </m:r>
        <m:r>
          <m:t>o</m:t>
        </m:r>
        <m:r>
          <m:t>f</m:t>
        </m:r>
        <m:r>
          <m:t>r</m:t>
        </m:r>
        <m:r>
          <m:t>o</m:t>
        </m:r>
        <m:r>
          <m:t>u</m:t>
        </m:r>
        <m:r>
          <m:t>g</m:t>
        </m:r>
        <m:r>
          <m:t>h</m:t>
        </m:r>
        <m:r>
          <m:t>l</m:t>
        </m:r>
        <m:r>
          <m:t>y</m:t>
        </m:r>
        <m:r>
          <m:rPr>
            <m:sty m:val="p"/>
          </m:rPr>
          <m:t>*</m:t>
        </m:r>
        <m:r>
          <m:rPr>
            <m:sty m:val="p"/>
          </m:rPr>
          <m:t>*</m:t>
        </m:r>
      </m:oMath>
      <w:r>
        <w:t xml:space="preserve">4.3 per share**, without relying on an unverified sell-side consensus.</w:t>
      </w:r>
    </w:p>
    <w:p>
      <w:pPr>
        <w:pStyle w:val="BodyText"/>
      </w:pPr>
      <w:r>
        <w:t xml:space="preserve">Cencora generated</w:t>
      </w:r>
      <w:r>
        <w:t xml:space="preserve"> </w:t>
      </w:r>
      <m:oMath>
        <m:r>
          <m:t>8.83</m:t>
        </m:r>
        <m:r>
          <m:t>o</m:t>
        </m:r>
        <m:r>
          <m:t>f</m:t>
        </m:r>
        <m:r>
          <m:t>a</m:t>
        </m:r>
        <m:r>
          <m:t>d</m:t>
        </m:r>
        <m:r>
          <m:t>j</m:t>
        </m:r>
        <m:r>
          <m:t>u</m:t>
        </m:r>
        <m:r>
          <m:t>s</m:t>
        </m:r>
        <m:r>
          <m:t>t</m:t>
        </m:r>
        <m:r>
          <m:t>e</m:t>
        </m:r>
        <m:r>
          <m:t>d</m:t>
        </m:r>
        <m:r>
          <m:t>E</m:t>
        </m:r>
        <m:r>
          <m:t>P</m:t>
        </m:r>
        <m:r>
          <m:t>S</m:t>
        </m:r>
        <m:r>
          <m:t>i</m:t>
        </m:r>
        <m:r>
          <m:t>n</m:t>
        </m:r>
        <m:r>
          <m:t>t</m:t>
        </m:r>
        <m:r>
          <m:t>h</m:t>
        </m:r>
        <m:r>
          <m:t>e</m:t>
        </m:r>
        <m:r>
          <m:t>f</m:t>
        </m:r>
        <m:r>
          <m:t>i</m:t>
        </m:r>
        <m:r>
          <m:t>r</m:t>
        </m:r>
        <m:r>
          <m:t>s</m:t>
        </m:r>
        <m:r>
          <m:t>t</m:t>
        </m:r>
        <m:r>
          <m:t>h</m:t>
        </m:r>
        <m:r>
          <m:t>a</m:t>
        </m:r>
        <m:r>
          <m:t>l</m:t>
        </m:r>
        <m:r>
          <m:t>f</m:t>
        </m:r>
        <m:r>
          <m:rPr>
            <m:sty m:val="p"/>
          </m:rPr>
          <m:t>,</m:t>
        </m:r>
        <m:r>
          <m:t>l</m:t>
        </m:r>
        <m:r>
          <m:t>e</m:t>
        </m:r>
        <m:r>
          <m:t>a</m:t>
        </m:r>
        <m:r>
          <m:t>v</m:t>
        </m:r>
        <m:r>
          <m:t>i</m:t>
        </m:r>
        <m:r>
          <m:t>n</m:t>
        </m:r>
        <m:r>
          <m:t>g</m:t>
        </m:r>
        <m:r>
          <m:rPr>
            <m:sty m:val="p"/>
          </m:rPr>
          <m:t>*</m:t>
        </m:r>
        <m:r>
          <m:rPr>
            <m:sty m:val="p"/>
          </m:rPr>
          <m:t>*</m:t>
        </m:r>
      </m:oMath>
      <w:r>
        <w:t xml:space="preserve">8.82–$9.07** required in the second half to reach guidance. If Q3 lands around</w:t>
      </w:r>
      <w:r>
        <w:t xml:space="preserve"> </w:t>
      </w:r>
      <m:oMath>
        <m:r>
          <m:t>4.3</m:t>
        </m:r>
        <m:r>
          <m:rPr>
            <m:sty m:val="p"/>
          </m:rPr>
          <m:t>,</m:t>
        </m:r>
        <m:r>
          <m:t>Q</m:t>
        </m:r>
        <m:r>
          <m:t>4</m:t>
        </m:r>
        <m:r>
          <m:t>w</m:t>
        </m:r>
        <m:r>
          <m:t>o</m:t>
        </m:r>
        <m:r>
          <m:t>u</m:t>
        </m:r>
        <m:r>
          <m:t>l</m:t>
        </m:r>
        <m:r>
          <m:t>d</m:t>
        </m:r>
        <m:r>
          <m:t>n</m:t>
        </m:r>
        <m:r>
          <m:t>e</m:t>
        </m:r>
        <m:r>
          <m:t>e</m:t>
        </m:r>
        <m:r>
          <m:t>d</m:t>
        </m:r>
        <m:r>
          <m:t>t</m:t>
        </m:r>
        <m:r>
          <m:t>o</m:t>
        </m:r>
        <m:r>
          <m:t>c</m:t>
        </m:r>
        <m:r>
          <m:t>o</m:t>
        </m:r>
        <m:r>
          <m:t>n</m:t>
        </m:r>
        <m:r>
          <m:t>t</m:t>
        </m:r>
        <m:r>
          <m:t>r</m:t>
        </m:r>
        <m:r>
          <m:t>i</m:t>
        </m:r>
        <m:r>
          <m:t>b</m:t>
        </m:r>
        <m:r>
          <m:t>u</m:t>
        </m:r>
        <m:r>
          <m:t>t</m:t>
        </m:r>
        <m:r>
          <m:t>e</m:t>
        </m:r>
        <m:r>
          <m:t>a</m:t>
        </m:r>
        <m:r>
          <m:t>p</m:t>
        </m:r>
        <m:r>
          <m:t>p</m:t>
        </m:r>
        <m:r>
          <m:t>r</m:t>
        </m:r>
        <m:r>
          <m:t>o</m:t>
        </m:r>
        <m:r>
          <m:t>x</m:t>
        </m:r>
        <m:r>
          <m:t>i</m:t>
        </m:r>
        <m:r>
          <m:t>m</m:t>
        </m:r>
        <m:r>
          <m:t>a</m:t>
        </m:r>
        <m:r>
          <m:t>t</m:t>
        </m:r>
        <m:r>
          <m:t>e</m:t>
        </m:r>
        <m:r>
          <m:t>l</m:t>
        </m:r>
        <m:r>
          <m:t>y</m:t>
        </m:r>
        <m:r>
          <m:rPr>
            <m:sty m:val="p"/>
          </m:rPr>
          <m:t>*</m:t>
        </m:r>
        <m:r>
          <m:rPr>
            <m:sty m:val="p"/>
          </m:rPr>
          <m:t>*</m:t>
        </m:r>
      </m:oMath>
      <w:r>
        <w:t xml:space="preserve">4.5–$4.8**.</w:t>
      </w:r>
    </w:p>
    <w:p>
      <w:pPr>
        <w:pStyle w:val="BodyText"/>
      </w:pPr>
      <w:r>
        <w:t xml:space="preserve">That is demanding but consistent with management’s expectation that fiscal Q4 will be the year’s strongest growth quarter. Q4 benefits from:</w:t>
      </w:r>
    </w:p>
    <w:p>
      <w:pPr>
        <w:pStyle w:val="Compact"/>
        <w:numPr>
          <w:ilvl w:val="0"/>
          <w:numId w:val="1002"/>
        </w:numPr>
      </w:pPr>
      <w:r>
        <w:t xml:space="preserve">Lapping the loss of a large oncology customer beginning July 1, 2026.</w:t>
      </w:r>
    </w:p>
    <w:p>
      <w:pPr>
        <w:pStyle w:val="Compact"/>
        <w:numPr>
          <w:ilvl w:val="0"/>
          <w:numId w:val="1002"/>
        </w:numPr>
      </w:pPr>
      <w:r>
        <w:t xml:space="preserve">A larger OneOncology contribution.</w:t>
      </w:r>
    </w:p>
    <w:p>
      <w:pPr>
        <w:pStyle w:val="Compact"/>
        <w:numPr>
          <w:ilvl w:val="0"/>
          <w:numId w:val="1002"/>
        </w:numPr>
      </w:pPr>
      <w:r>
        <w:t xml:space="preserve">Easier U.S. expense comparisons.</w:t>
      </w:r>
    </w:p>
    <w:p>
      <w:pPr>
        <w:pStyle w:val="Compact"/>
        <w:numPr>
          <w:ilvl w:val="0"/>
          <w:numId w:val="1002"/>
        </w:numPr>
      </w:pPr>
      <w:r>
        <w:t xml:space="preserve">Continued recovery in global specialty logistics.</w:t>
      </w:r>
    </w:p>
    <w:p>
      <w:pPr>
        <w:pStyle w:val="Compact"/>
        <w:numPr>
          <w:ilvl w:val="0"/>
          <w:numId w:val="1002"/>
        </w:numPr>
      </w:pPr>
      <w:r>
        <w:t xml:space="preserve">Lower interest expense relative to Q3.</w:t>
      </w:r>
    </w:p>
    <w:p>
      <w:pPr>
        <w:pStyle w:val="Compact"/>
        <w:numPr>
          <w:ilvl w:val="0"/>
          <w:numId w:val="1002"/>
        </w:numPr>
      </w:pPr>
      <w:r>
        <w:t xml:space="preserve">Potential benefit from share repurchases.</w:t>
      </w:r>
    </w:p>
    <w:p>
      <w:pPr>
        <w:pStyle w:val="FirstParagraph"/>
      </w:pPr>
      <w:r>
        <w:rPr>
          <w:b/>
          <w:bCs/>
        </w:rPr>
        <w:t xml:space="preserve">Investor takeaway:</w:t>
      </w:r>
      <w:r>
        <w:t xml:space="preserve"> </w:t>
      </w:r>
      <w:r>
        <w:t xml:space="preserve">A Q3 result near the implied $4.3 hurdle may be sufficient only if management firmly reiterates the full-year outlook and provides credible evidence that the expected Q4 acceleration is developing.</w:t>
      </w:r>
    </w:p>
    <w:bookmarkEnd w:id="10"/>
    <w:bookmarkStart w:id="16" w:name="what-matters-most"/>
    <w:p>
      <w:pPr>
        <w:pStyle w:val="Heading2"/>
      </w:pPr>
      <w:r>
        <w:t xml:space="preserve">What matters most</w:t>
      </w:r>
    </w:p>
    <w:bookmarkStart w:id="11" w:name="X1f68e61df1e8bdf0d078c7f9a0e260aabf9bcab"/>
    <w:p>
      <w:pPr>
        <w:pStyle w:val="Heading3"/>
      </w:pPr>
      <w:r>
        <w:t xml:space="preserve">1. Revenue quality, not simply revenue growth</w:t>
      </w:r>
    </w:p>
    <w:p>
      <w:pPr>
        <w:pStyle w:val="FirstParagraph"/>
      </w:pPr>
      <w:r>
        <w:t xml:space="preserve">Fiscal Q2 revenue increased just 3.8% to $78.4 billion, and U.S. Healthcare Solutions grew 2.9%. That included several major moving parts:</w:t>
      </w:r>
    </w:p>
    <w:p>
      <w:pPr>
        <w:pStyle w:val="Compact"/>
        <w:numPr>
          <w:ilvl w:val="0"/>
          <w:numId w:val="1003"/>
        </w:numPr>
      </w:pPr>
      <w:r>
        <w:t xml:space="preserve">Approximately</w:t>
      </w:r>
      <w:r>
        <w:t xml:space="preserve"> </w:t>
      </w:r>
      <w:r>
        <w:rPr>
          <w:b/>
          <w:bCs/>
        </w:rPr>
        <w:t xml:space="preserve">$2 billion of revenue pressure</w:t>
      </w:r>
      <w:r>
        <w:t xml:space="preserve"> </w:t>
      </w:r>
      <w:r>
        <w:t xml:space="preserve">from manufacturer list-price reductions.</w:t>
      </w:r>
    </w:p>
    <w:p>
      <w:pPr>
        <w:pStyle w:val="Compact"/>
        <w:numPr>
          <w:ilvl w:val="0"/>
          <w:numId w:val="1003"/>
        </w:numPr>
      </w:pPr>
      <w:r>
        <w:rPr>
          <w:b/>
          <w:bCs/>
        </w:rPr>
        <w:t xml:space="preserve">$1.9 billion of incremental GLP-1 revenue</w:t>
      </w:r>
      <w:r>
        <w:t xml:space="preserve">, representing 23% year-over-year growth.</w:t>
      </w:r>
    </w:p>
    <w:p>
      <w:pPr>
        <w:pStyle w:val="Compact"/>
        <w:numPr>
          <w:ilvl w:val="0"/>
          <w:numId w:val="1003"/>
        </w:numPr>
      </w:pPr>
      <w:r>
        <w:t xml:space="preserve">Faster conversions from branded drugs to biosimilars at a large mail-order pharmacy customer.</w:t>
      </w:r>
    </w:p>
    <w:p>
      <w:pPr>
        <w:pStyle w:val="Compact"/>
        <w:numPr>
          <w:ilvl w:val="0"/>
          <w:numId w:val="1003"/>
        </w:numPr>
      </w:pPr>
      <w:r>
        <w:t xml:space="preserve">The previously disclosed losses of an oncology customer and grocery customer.</w:t>
      </w:r>
    </w:p>
    <w:p>
      <w:pPr>
        <w:pStyle w:val="FirstParagraph"/>
      </w:pPr>
      <w:r>
        <w:t xml:space="preserve">Management’s argument is that the largest revenue pressures have little corresponding impact on operating income. Lower manufacturer prices can be addressed commercially, while brand sales to the affected mail-order customer carry low margins.</w:t>
      </w:r>
    </w:p>
    <w:p>
      <w:pPr>
        <w:pStyle w:val="BodyText"/>
      </w:pPr>
      <w:r>
        <w:t xml:space="preserve">The market will want proof. Watch for:</w:t>
      </w:r>
    </w:p>
    <w:p>
      <w:pPr>
        <w:pStyle w:val="Compact"/>
        <w:numPr>
          <w:ilvl w:val="0"/>
          <w:numId w:val="1004"/>
        </w:numPr>
      </w:pPr>
      <w:r>
        <w:t xml:space="preserve">Another reduction to the 4%–6% annual revenue-growth forecast.</w:t>
      </w:r>
    </w:p>
    <w:p>
      <w:pPr>
        <w:pStyle w:val="Compact"/>
        <w:numPr>
          <w:ilvl w:val="0"/>
          <w:numId w:val="1004"/>
        </w:numPr>
      </w:pPr>
      <w:r>
        <w:t xml:space="preserve">Updated GLP-1 growth expectations.</w:t>
      </w:r>
    </w:p>
    <w:p>
      <w:pPr>
        <w:pStyle w:val="Compact"/>
        <w:numPr>
          <w:ilvl w:val="0"/>
          <w:numId w:val="1004"/>
        </w:numPr>
      </w:pPr>
      <w:r>
        <w:t xml:space="preserve">Whether mail-order biosimilar conversions are still running faster than planned.</w:t>
      </w:r>
    </w:p>
    <w:p>
      <w:pPr>
        <w:pStyle w:val="Compact"/>
        <w:numPr>
          <w:ilvl w:val="0"/>
          <w:numId w:val="1004"/>
        </w:numPr>
      </w:pPr>
      <w:r>
        <w:t xml:space="preserve">Any indication that lower revenue is beginning to affect gross profit dollars or segment operating income.</w:t>
      </w:r>
    </w:p>
    <w:p>
      <w:pPr>
        <w:pStyle w:val="Compact"/>
        <w:numPr>
          <w:ilvl w:val="0"/>
          <w:numId w:val="1004"/>
        </w:numPr>
      </w:pPr>
      <w:r>
        <w:t xml:space="preserve">Commentary on upcoming GLP-1 price reductions and Cencora’s ability to preserve absolute profit.</w:t>
      </w:r>
    </w:p>
    <w:p>
      <w:pPr>
        <w:pStyle w:val="FirstParagraph"/>
      </w:pPr>
      <w:r>
        <w:t xml:space="preserve">A revenue miss accompanied by stable or rising operating-income guidance would support management’s “low-quality revenue” explanation. A simultaneous revenue and profit reset would be much more concerning.</w:t>
      </w:r>
    </w:p>
    <w:bookmarkEnd w:id="11"/>
    <w:bookmarkStart w:id="12" w:name="X346207c17ac7589e1e27671548ad5121e6c4922"/>
    <w:p>
      <w:pPr>
        <w:pStyle w:val="Heading3"/>
      </w:pPr>
      <w:r>
        <w:t xml:space="preserve">2. U.S. Healthcare Solutions must accelerate</w:t>
      </w:r>
    </w:p>
    <w:p>
      <w:pPr>
        <w:pStyle w:val="FirstParagraph"/>
      </w:pPr>
      <w:r>
        <w:t xml:space="preserve">The U.S. segment represents the core of the thesis. In Q2:</w:t>
      </w:r>
    </w:p>
    <w:p>
      <w:pPr>
        <w:pStyle w:val="Compact"/>
        <w:numPr>
          <w:ilvl w:val="0"/>
          <w:numId w:val="1005"/>
        </w:numPr>
      </w:pPr>
      <w:r>
        <w:t xml:space="preserve">Revenue increased 2.9% to $68.8 billion.</w:t>
      </w:r>
    </w:p>
    <w:p>
      <w:pPr>
        <w:pStyle w:val="Compact"/>
        <w:numPr>
          <w:ilvl w:val="0"/>
          <w:numId w:val="1005"/>
        </w:numPr>
      </w:pPr>
      <w:r>
        <w:t xml:space="preserve">Adjusted operating income increased 5.6% to $998 million.</w:t>
      </w:r>
    </w:p>
    <w:p>
      <w:pPr>
        <w:pStyle w:val="Compact"/>
        <w:numPr>
          <w:ilvl w:val="0"/>
          <w:numId w:val="1005"/>
        </w:numPr>
      </w:pPr>
      <w:r>
        <w:t xml:space="preserve">Operating margin improved four basis points to 1.45%.</w:t>
      </w:r>
    </w:p>
    <w:p>
      <w:pPr>
        <w:pStyle w:val="FirstParagraph"/>
      </w:pPr>
      <w:r>
        <w:t xml:space="preserve">Management estimated that weather-related physician-office disruptions reduced Q2 operating income by $10 million and lower COVID-19 vaccine demand created another $10 million headwind. Excluding OneOncology and the lost oncology customer, management said underlying U.S. operating-income growth would have been approximately 7%, or closer to 9% before those two transitory pressures.</w:t>
      </w:r>
    </w:p>
    <w:p>
      <w:pPr>
        <w:pStyle w:val="BodyText"/>
      </w:pPr>
      <w:r>
        <w:t xml:space="preserve">Q3 should no longer face the same weather disruption, but it still includes the difficult comparison associated with the lost oncology customer. That customer loss is not lapped until fiscal Q4.</w:t>
      </w:r>
    </w:p>
    <w:p>
      <w:pPr>
        <w:pStyle w:val="BodyText"/>
      </w:pPr>
      <w:r>
        <w:t xml:space="preserve">The most important U.S. questions are:</w:t>
      </w:r>
    </w:p>
    <w:p>
      <w:pPr>
        <w:pStyle w:val="Compact"/>
        <w:numPr>
          <w:ilvl w:val="0"/>
          <w:numId w:val="1006"/>
        </w:numPr>
      </w:pPr>
      <w:r>
        <w:t xml:space="preserve">Did core segment growth improve after adjusting for acquisitions and customer losses?</w:t>
      </w:r>
    </w:p>
    <w:p>
      <w:pPr>
        <w:pStyle w:val="Compact"/>
        <w:numPr>
          <w:ilvl w:val="0"/>
          <w:numId w:val="1006"/>
        </w:numPr>
      </w:pPr>
      <w:r>
        <w:t xml:space="preserve">Has specialty volume remained strong across physician practices and health systems?</w:t>
      </w:r>
    </w:p>
    <w:p>
      <w:pPr>
        <w:pStyle w:val="Compact"/>
        <w:numPr>
          <w:ilvl w:val="0"/>
          <w:numId w:val="1006"/>
        </w:numPr>
      </w:pPr>
      <w:r>
        <w:t xml:space="preserve">Are expenses moderating as management forecast?</w:t>
      </w:r>
    </w:p>
    <w:p>
      <w:pPr>
        <w:pStyle w:val="Compact"/>
        <w:numPr>
          <w:ilvl w:val="0"/>
          <w:numId w:val="1006"/>
        </w:numPr>
      </w:pPr>
      <w:r>
        <w:t xml:space="preserve">Does management still expect 14%–16% full-year segment operating-income growth?</w:t>
      </w:r>
    </w:p>
    <w:p>
      <w:pPr>
        <w:pStyle w:val="FirstParagraph"/>
      </w:pPr>
      <w:r>
        <w:t xml:space="preserve">Investors should be wary if management relies heavily on acquisition-driven margin expansion without quantifying organic performance.</w:t>
      </w:r>
    </w:p>
    <w:bookmarkEnd w:id="12"/>
    <w:bookmarkStart w:id="13" w:name="X80ab1d30968bc9d754f9bdb34905ebdab85ca8b"/>
    <w:p>
      <w:pPr>
        <w:pStyle w:val="Heading3"/>
      </w:pPr>
      <w:r>
        <w:t xml:space="preserve">3. OneOncology gets its first full-quarter test</w:t>
      </w:r>
    </w:p>
    <w:p>
      <w:pPr>
        <w:pStyle w:val="FirstParagraph"/>
      </w:pPr>
      <w:r>
        <w:t xml:space="preserve">Cencora acquired the remaining majority interest in OneOncology on February 2 for total fair-value consideration of approximately $7.4 billion, including roughly $4.65 billion in cash. Q2 contained only two months of consolidated ownership; Q3 is the first complete quarter.</w:t>
      </w:r>
    </w:p>
    <w:p>
      <w:pPr>
        <w:pStyle w:val="BodyText"/>
      </w:pPr>
      <w:r>
        <w:t xml:space="preserve">The acquisition is central to Cencora’s strategy of moving further into physician-practice management and specialty pharmaceuticals. It also changes the company’s financial profile: management-service organizations carry substantially higher gross margins and operating expenses than traditional distribution.</w:t>
      </w:r>
    </w:p>
    <w:p>
      <w:pPr>
        <w:pStyle w:val="BodyText"/>
      </w:pPr>
      <w:r>
        <w:t xml:space="preserve">Key items to monitor include:</w:t>
      </w:r>
    </w:p>
    <w:p>
      <w:pPr>
        <w:pStyle w:val="Compact"/>
        <w:numPr>
          <w:ilvl w:val="0"/>
          <w:numId w:val="1007"/>
        </w:numPr>
      </w:pPr>
      <w:r>
        <w:t xml:space="preserve">OneOncology’s incremental operating-income contribution.</w:t>
      </w:r>
    </w:p>
    <w:p>
      <w:pPr>
        <w:pStyle w:val="Compact"/>
        <w:numPr>
          <w:ilvl w:val="0"/>
          <w:numId w:val="1007"/>
        </w:numPr>
      </w:pPr>
      <w:r>
        <w:t xml:space="preserve">Integration with Retina Consultants of America.</w:t>
      </w:r>
    </w:p>
    <w:p>
      <w:pPr>
        <w:pStyle w:val="Compact"/>
        <w:numPr>
          <w:ilvl w:val="0"/>
          <w:numId w:val="1007"/>
        </w:numPr>
      </w:pPr>
      <w:r>
        <w:t xml:space="preserve">Physician recruitment and retention.</w:t>
      </w:r>
    </w:p>
    <w:p>
      <w:pPr>
        <w:pStyle w:val="Compact"/>
        <w:numPr>
          <w:ilvl w:val="0"/>
          <w:numId w:val="1007"/>
        </w:numPr>
      </w:pPr>
      <w:r>
        <w:t xml:space="preserve">Practice growth and specialty-drug volumes.</w:t>
      </w:r>
    </w:p>
    <w:p>
      <w:pPr>
        <w:pStyle w:val="Compact"/>
        <w:numPr>
          <w:ilvl w:val="0"/>
          <w:numId w:val="1007"/>
        </w:numPr>
      </w:pPr>
      <w:r>
        <w:t xml:space="preserve">Clinical-trial, research and back-office synergies.</w:t>
      </w:r>
    </w:p>
    <w:p>
      <w:pPr>
        <w:pStyle w:val="Compact"/>
        <w:numPr>
          <w:ilvl w:val="0"/>
          <w:numId w:val="1007"/>
        </w:numPr>
      </w:pPr>
      <w:r>
        <w:t xml:space="preserve">Any updated acquisition accretion targets.</w:t>
      </w:r>
    </w:p>
    <w:p>
      <w:pPr>
        <w:pStyle w:val="Compact"/>
        <w:numPr>
          <w:ilvl w:val="0"/>
          <w:numId w:val="1007"/>
        </w:numPr>
      </w:pPr>
      <w:r>
        <w:t xml:space="preserve">Expense growth excluding the MSO businesses.</w:t>
      </w:r>
    </w:p>
    <w:p>
      <w:pPr>
        <w:pStyle w:val="FirstParagraph"/>
      </w:pPr>
      <w:r>
        <w:t xml:space="preserve">OneOncology must increasingly offset the lost oncology distribution customer and the additional financing cost incurred to acquire it. A vague integration update would probably disappoint.</w:t>
      </w:r>
    </w:p>
    <w:bookmarkEnd w:id="13"/>
    <w:bookmarkStart w:id="14" w:name="X48e3c64cd067d0be308bb6f0f4959adbdceb174"/>
    <w:p>
      <w:pPr>
        <w:pStyle w:val="Heading3"/>
      </w:pPr>
      <w:r>
        <w:t xml:space="preserve">4. International recovery needs to persist</w:t>
      </w:r>
    </w:p>
    <w:p>
      <w:pPr>
        <w:pStyle w:val="FirstParagraph"/>
      </w:pPr>
      <w:r>
        <w:t xml:space="preserve">International Healthcare Solutions was a bright spot in Q2:</w:t>
      </w:r>
    </w:p>
    <w:p>
      <w:pPr>
        <w:pStyle w:val="Compact"/>
        <w:numPr>
          <w:ilvl w:val="0"/>
          <w:numId w:val="1008"/>
        </w:numPr>
      </w:pPr>
      <w:r>
        <w:t xml:space="preserve">Revenue increased 13%, or 7.2% in constant currency.</w:t>
      </w:r>
    </w:p>
    <w:p>
      <w:pPr>
        <w:pStyle w:val="Compact"/>
        <w:numPr>
          <w:ilvl w:val="0"/>
          <w:numId w:val="1008"/>
        </w:numPr>
      </w:pPr>
      <w:r>
        <w:t xml:space="preserve">Operating income increased 13.7%, or 12.9% in constant currency.</w:t>
      </w:r>
    </w:p>
    <w:p>
      <w:pPr>
        <w:pStyle w:val="Compact"/>
        <w:numPr>
          <w:ilvl w:val="0"/>
          <w:numId w:val="1008"/>
        </w:numPr>
      </w:pPr>
      <w:r>
        <w:t xml:space="preserve">Global specialty logistics delivered its second consecutive quarter of operating-income growth.</w:t>
      </w:r>
    </w:p>
    <w:p>
      <w:pPr>
        <w:pStyle w:val="FirstParagraph"/>
      </w:pPr>
      <w:r>
        <w:t xml:space="preserve">The comparison becomes favorable because prior-year Q3 international operating income declined 12.9%, largely because of weakness in global specialty logistics and consulting services.</w:t>
      </w:r>
    </w:p>
    <w:p>
      <w:pPr>
        <w:pStyle w:val="BodyText"/>
      </w:pPr>
      <w:r>
        <w:t xml:space="preserve">Investors should look for a</w:t>
      </w:r>
      <w:r>
        <w:t xml:space="preserve"> </w:t>
      </w:r>
      <w:r>
        <w:rPr>
          <w:b/>
          <w:bCs/>
        </w:rPr>
        <w:t xml:space="preserve">third consecutive quarter of growth at World Courier/global specialty logistics</w:t>
      </w:r>
      <w:r>
        <w:t xml:space="preserve">, supported by contract wins in cell and gene therapy, laboratory logistics, pricing and productivity. International results should also be assessed in constant currency because reported growth can be materially affected by exchange rates.</w:t>
      </w:r>
    </w:p>
    <w:p>
      <w:pPr>
        <w:pStyle w:val="BodyText"/>
      </w:pPr>
      <w:r>
        <w:t xml:space="preserve">A sustained international rebound would add diversification to a quarter otherwise dominated by questions about the U.S. business.</w:t>
      </w:r>
    </w:p>
    <w:bookmarkEnd w:id="14"/>
    <w:bookmarkStart w:id="15" w:name="Xcb5f13237f00a9a86916f13df1b29dbac288a44"/>
    <w:p>
      <w:pPr>
        <w:pStyle w:val="Heading3"/>
      </w:pPr>
      <w:r>
        <w:t xml:space="preserve">5. Cash flow, debt and buybacks</w:t>
      </w:r>
    </w:p>
    <w:p>
      <w:pPr>
        <w:pStyle w:val="FirstParagraph"/>
      </w:pPr>
      <w:r>
        <w:t xml:space="preserve">Cencora ended March with:</w:t>
      </w:r>
    </w:p>
    <w:p>
      <w:pPr>
        <w:pStyle w:val="Compact"/>
        <w:numPr>
          <w:ilvl w:val="0"/>
          <w:numId w:val="1009"/>
        </w:numPr>
      </w:pPr>
      <w:r>
        <w:t xml:space="preserve">Approximately $2.2 billion of cash.</w:t>
      </w:r>
    </w:p>
    <w:p>
      <w:pPr>
        <w:pStyle w:val="Compact"/>
        <w:numPr>
          <w:ilvl w:val="0"/>
          <w:numId w:val="1009"/>
        </w:numPr>
      </w:pPr>
      <w:r>
        <w:t xml:space="preserve">Approximately $12.4 billion of total debt.</w:t>
      </w:r>
    </w:p>
    <w:p>
      <w:pPr>
        <w:pStyle w:val="Compact"/>
        <w:numPr>
          <w:ilvl w:val="0"/>
          <w:numId w:val="1009"/>
        </w:numPr>
      </w:pPr>
      <w:r>
        <w:t xml:space="preserve">$2.3 billion of variable-rate debt.</w:t>
      </w:r>
    </w:p>
    <w:p>
      <w:pPr>
        <w:pStyle w:val="Compact"/>
        <w:numPr>
          <w:ilvl w:val="0"/>
          <w:numId w:val="1009"/>
        </w:numPr>
      </w:pPr>
      <w:r>
        <w:t xml:space="preserve">A full-year adjusted free-cash-flow target of approximately $3 billion.</w:t>
      </w:r>
    </w:p>
    <w:p>
      <w:pPr>
        <w:pStyle w:val="FirstParagraph"/>
      </w:pPr>
      <w:r>
        <w:t xml:space="preserve">First-half adjusted free cash flow was negative by about $1.28 billion, primarily reflecting seasonal working-capital movements. Cash generation is normally weighted toward the back of the fiscal year, but Cencora now needs more than $4 billion of second-half adjusted free cash flow to reach its annual target.</w:t>
      </w:r>
    </w:p>
    <w:p>
      <w:pPr>
        <w:pStyle w:val="BodyText"/>
      </w:pPr>
      <w:r>
        <w:t xml:space="preserve">The company also said it expected to repurchase</w:t>
      </w:r>
      <w:r>
        <w:t xml:space="preserve"> </w:t>
      </w:r>
      <w:r>
        <w:rPr>
          <w:b/>
          <w:bCs/>
        </w:rPr>
        <w:t xml:space="preserve">$1 billion of shares by the end of calendar 2026</w:t>
      </w:r>
      <w:r>
        <w:t xml:space="preserve">, after pausing buybacks to finance OneOncology. Investors should look for:</w:t>
      </w:r>
    </w:p>
    <w:p>
      <w:pPr>
        <w:pStyle w:val="Compact"/>
        <w:numPr>
          <w:ilvl w:val="0"/>
          <w:numId w:val="1010"/>
        </w:numPr>
      </w:pPr>
      <w:r>
        <w:t xml:space="preserve">Progress against the $1.3 billion fiscal-year term-loan repayment plan.</w:t>
      </w:r>
    </w:p>
    <w:p>
      <w:pPr>
        <w:pStyle w:val="Compact"/>
        <w:numPr>
          <w:ilvl w:val="0"/>
          <w:numId w:val="1010"/>
        </w:numPr>
      </w:pPr>
      <w:r>
        <w:t xml:space="preserve">Actual Q3 share repurchases.</w:t>
      </w:r>
    </w:p>
    <w:p>
      <w:pPr>
        <w:pStyle w:val="Compact"/>
        <w:numPr>
          <w:ilvl w:val="0"/>
          <w:numId w:val="1010"/>
        </w:numPr>
      </w:pPr>
      <w:r>
        <w:t xml:space="preserve">Updated diluted-share assumptions.</w:t>
      </w:r>
    </w:p>
    <w:p>
      <w:pPr>
        <w:pStyle w:val="Compact"/>
        <w:numPr>
          <w:ilvl w:val="0"/>
          <w:numId w:val="1010"/>
        </w:numPr>
      </w:pPr>
      <w:r>
        <w:t xml:space="preserve">Working-capital normalization.</w:t>
      </w:r>
    </w:p>
    <w:p>
      <w:pPr>
        <w:pStyle w:val="Compact"/>
        <w:numPr>
          <w:ilvl w:val="0"/>
          <w:numId w:val="1010"/>
        </w:numPr>
      </w:pPr>
      <w:r>
        <w:t xml:space="preserve">Reaffirmation of the approximately $3 billion free-cash-flow target.</w:t>
      </w:r>
    </w:p>
    <w:p>
      <w:pPr>
        <w:pStyle w:val="FirstParagraph"/>
      </w:pPr>
      <w:r>
        <w:t xml:space="preserve">Buybacks are helpful, but aggressive repurchases alongside weak cash conversion or slower debt reduction would be less compelling.</w:t>
      </w:r>
    </w:p>
    <w:bookmarkEnd w:id="15"/>
    <w:bookmarkEnd w:id="16"/>
    <w:bookmarkStart w:id="20" w:name="other-items-to-watch"/>
    <w:p>
      <w:pPr>
        <w:pStyle w:val="Heading2"/>
      </w:pPr>
      <w:r>
        <w:t xml:space="preserve">Other items to watch</w:t>
      </w:r>
    </w:p>
    <w:bookmarkStart w:id="17" w:name="portfolio-simplification"/>
    <w:p>
      <w:pPr>
        <w:pStyle w:val="Heading3"/>
      </w:pPr>
      <w:r>
        <w:t xml:space="preserve">Portfolio simplification</w:t>
      </w:r>
    </w:p>
    <w:p>
      <w:pPr>
        <w:pStyle w:val="FirstParagraph"/>
      </w:pPr>
      <w:r>
        <w:t xml:space="preserve">Cencora agreed to merge MWI Animal Health with Covetrus and divested its U.S. hub consulting services. Because MWI was classified as held for sale, depreciation was suspended, creating an accounting benefit that helped raise fiscal 2026 operating-income and EPS guidance.</w:t>
      </w:r>
    </w:p>
    <w:p>
      <w:pPr>
        <w:pStyle w:val="BodyText"/>
      </w:pPr>
      <w:r>
        <w:t xml:space="preserve">Investors should distinguish between:</w:t>
      </w:r>
    </w:p>
    <w:p>
      <w:pPr>
        <w:pStyle w:val="Compact"/>
        <w:numPr>
          <w:ilvl w:val="0"/>
          <w:numId w:val="1011"/>
        </w:numPr>
      </w:pPr>
      <w:r>
        <w:t xml:space="preserve">Improvement in continuing pharmaceutical operations.</w:t>
      </w:r>
    </w:p>
    <w:p>
      <w:pPr>
        <w:pStyle w:val="Compact"/>
        <w:numPr>
          <w:ilvl w:val="0"/>
          <w:numId w:val="1011"/>
        </w:numPr>
      </w:pPr>
      <w:r>
        <w:t xml:space="preserve">Acquisition contributions.</w:t>
      </w:r>
    </w:p>
    <w:p>
      <w:pPr>
        <w:pStyle w:val="Compact"/>
        <w:numPr>
          <w:ilvl w:val="0"/>
          <w:numId w:val="1011"/>
        </w:numPr>
      </w:pPr>
      <w:r>
        <w:t xml:space="preserve">Held-for-sale accounting benefits.</w:t>
      </w:r>
    </w:p>
    <w:p>
      <w:pPr>
        <w:pStyle w:val="FirstParagraph"/>
      </w:pPr>
      <w:r>
        <w:t xml:space="preserve">The prior EPS guidance increase was not entirely attributable to stronger core operations.</w:t>
      </w:r>
    </w:p>
    <w:bookmarkEnd w:id="17"/>
    <w:bookmarkStart w:id="18" w:name="new-cfos-first-earnings-call"/>
    <w:p>
      <w:pPr>
        <w:pStyle w:val="Heading3"/>
      </w:pPr>
      <w:r>
        <w:t xml:space="preserve">New CFO’s first earnings call</w:t>
      </w:r>
    </w:p>
    <w:p>
      <w:pPr>
        <w:pStyle w:val="FirstParagraph"/>
      </w:pPr>
      <w:r>
        <w:t xml:space="preserve">The call will feature</w:t>
      </w:r>
      <w:r>
        <w:t xml:space="preserve"> </w:t>
      </w:r>
      <w:r>
        <w:rPr>
          <w:b/>
          <w:bCs/>
        </w:rPr>
        <w:t xml:space="preserve">Eva Boratto as CFO</w:t>
      </w:r>
      <w:r>
        <w:t xml:space="preserve">, succeeding Jim Cleary. Investors will pay attention to her framing of the Q4 earnings ramp, acquisition returns, leverage, capital allocation and the appropriate way to measure organic growth following the addition of the MSO businesses.</w:t>
      </w:r>
    </w:p>
    <w:bookmarkEnd w:id="18"/>
    <w:bookmarkStart w:id="19" w:name="biosimilars"/>
    <w:p>
      <w:pPr>
        <w:pStyle w:val="Heading3"/>
      </w:pPr>
      <w:r>
        <w:t xml:space="preserve">Biosimilars</w:t>
      </w:r>
    </w:p>
    <w:p>
      <w:pPr>
        <w:pStyle w:val="FirstParagraph"/>
      </w:pPr>
      <w:r>
        <w:t xml:space="preserve">Management distinguishes between two channels:</w:t>
      </w:r>
    </w:p>
    <w:p>
      <w:pPr>
        <w:pStyle w:val="Compact"/>
        <w:numPr>
          <w:ilvl w:val="0"/>
          <w:numId w:val="1012"/>
        </w:numPr>
      </w:pPr>
      <w:r>
        <w:rPr>
          <w:b/>
          <w:bCs/>
        </w:rPr>
        <w:t xml:space="preserve">Part D/mail order:</w:t>
      </w:r>
      <w:r>
        <w:t xml:space="preserve"> </w:t>
      </w:r>
      <w:r>
        <w:t xml:space="preserve">Brand-to-biosimilar conversion can remove low-margin revenue from the wholesale channel.</w:t>
      </w:r>
    </w:p>
    <w:p>
      <w:pPr>
        <w:pStyle w:val="Compact"/>
        <w:numPr>
          <w:ilvl w:val="0"/>
          <w:numId w:val="1012"/>
        </w:numPr>
      </w:pPr>
      <w:r>
        <w:rPr>
          <w:b/>
          <w:bCs/>
        </w:rPr>
        <w:t xml:space="preserve">Part B/physician-administered drugs:</w:t>
      </w:r>
      <w:r>
        <w:t xml:space="preserve"> </w:t>
      </w:r>
      <w:r>
        <w:t xml:space="preserve">Biosimilar adoption may be incrementally beneficial to practices and Cencora.</w:t>
      </w:r>
    </w:p>
    <w:p>
      <w:pPr>
        <w:pStyle w:val="FirstParagraph"/>
      </w:pPr>
      <w:r>
        <w:t xml:space="preserve">Any change in that assessment—particularly evidence that Part D conversions carry more profit than previously characterized—could materially affect the investment debate.</w:t>
      </w:r>
    </w:p>
    <w:bookmarkEnd w:id="19"/>
    <w:bookmarkEnd w:id="20"/>
    <w:bookmarkStart w:id="24" w:name="bull-base-and-bear-interpretations"/>
    <w:p>
      <w:pPr>
        <w:pStyle w:val="Heading2"/>
      </w:pPr>
      <w:r>
        <w:t xml:space="preserve">Bull, base and bear interpretations</w:t>
      </w:r>
    </w:p>
    <w:bookmarkStart w:id="21" w:name="bull-case"/>
    <w:p>
      <w:pPr>
        <w:pStyle w:val="Heading3"/>
      </w:pPr>
      <w:r>
        <w:t xml:space="preserve">Bull case</w:t>
      </w:r>
    </w:p>
    <w:p>
      <w:pPr>
        <w:pStyle w:val="Compact"/>
        <w:numPr>
          <w:ilvl w:val="0"/>
          <w:numId w:val="1013"/>
        </w:numPr>
      </w:pPr>
      <w:r>
        <w:t xml:space="preserve">Q3 adjusted EPS reaches or exceeds the roughly $4.3 implied hurdle.</w:t>
      </w:r>
    </w:p>
    <w:p>
      <w:pPr>
        <w:pStyle w:val="Compact"/>
        <w:numPr>
          <w:ilvl w:val="0"/>
          <w:numId w:val="1013"/>
        </w:numPr>
      </w:pPr>
      <w:r>
        <w:t xml:space="preserve">Full-year EPS and segment operating-income guidance are reiterated or raised.</w:t>
      </w:r>
    </w:p>
    <w:p>
      <w:pPr>
        <w:pStyle w:val="Compact"/>
        <w:numPr>
          <w:ilvl w:val="0"/>
          <w:numId w:val="1013"/>
        </w:numPr>
      </w:pPr>
      <w:r>
        <w:t xml:space="preserve">Revenue guidance is maintained despite continued low-margin pressure.</w:t>
      </w:r>
    </w:p>
    <w:p>
      <w:pPr>
        <w:pStyle w:val="Compact"/>
        <w:numPr>
          <w:ilvl w:val="0"/>
          <w:numId w:val="1013"/>
        </w:numPr>
      </w:pPr>
      <w:r>
        <w:t xml:space="preserve">OneOncology contribution ramps and core U.S. growth improves.</w:t>
      </w:r>
    </w:p>
    <w:p>
      <w:pPr>
        <w:pStyle w:val="Compact"/>
        <w:numPr>
          <w:ilvl w:val="0"/>
          <w:numId w:val="1013"/>
        </w:numPr>
      </w:pPr>
      <w:r>
        <w:t xml:space="preserve">World Courier posts another strong quarter.</w:t>
      </w:r>
    </w:p>
    <w:p>
      <w:pPr>
        <w:pStyle w:val="Compact"/>
        <w:numPr>
          <w:ilvl w:val="0"/>
          <w:numId w:val="1013"/>
        </w:numPr>
      </w:pPr>
      <w:r>
        <w:t xml:space="preserve">Buybacks begin without compromising debt reduction.</w:t>
      </w:r>
    </w:p>
    <w:p>
      <w:pPr>
        <w:pStyle w:val="FirstParagraph"/>
      </w:pPr>
      <w:r>
        <w:t xml:space="preserve">This would support management’s view that the Q2 selloff overreacted to revenue composition rather than a deterioration in earnings power.</w:t>
      </w:r>
    </w:p>
    <w:bookmarkEnd w:id="21"/>
    <w:bookmarkStart w:id="22" w:name="base-case"/>
    <w:p>
      <w:pPr>
        <w:pStyle w:val="Heading3"/>
      </w:pPr>
      <w:r>
        <w:t xml:space="preserve">Base case</w:t>
      </w:r>
    </w:p>
    <w:p>
      <w:pPr>
        <w:pStyle w:val="Compact"/>
        <w:numPr>
          <w:ilvl w:val="0"/>
          <w:numId w:val="1014"/>
        </w:numPr>
      </w:pPr>
      <w:r>
        <w:t xml:space="preserve">EPS grows in the high single digits.</w:t>
      </w:r>
    </w:p>
    <w:p>
      <w:pPr>
        <w:pStyle w:val="Compact"/>
        <w:numPr>
          <w:ilvl w:val="0"/>
          <w:numId w:val="1014"/>
        </w:numPr>
      </w:pPr>
      <w:r>
        <w:t xml:space="preserve">Revenue remains soft but profit guidance is maintained.</w:t>
      </w:r>
    </w:p>
    <w:p>
      <w:pPr>
        <w:pStyle w:val="Compact"/>
        <w:numPr>
          <w:ilvl w:val="0"/>
          <w:numId w:val="1014"/>
        </w:numPr>
      </w:pPr>
      <w:r>
        <w:t xml:space="preserve">OneOncology performs broadly as expected.</w:t>
      </w:r>
    </w:p>
    <w:p>
      <w:pPr>
        <w:pStyle w:val="Compact"/>
        <w:numPr>
          <w:ilvl w:val="0"/>
          <w:numId w:val="1014"/>
        </w:numPr>
      </w:pPr>
      <w:r>
        <w:t xml:space="preserve">Management continues to rely on a substantial Q4 acceleration.</w:t>
      </w:r>
    </w:p>
    <w:p>
      <w:pPr>
        <w:pStyle w:val="Compact"/>
        <w:numPr>
          <w:ilvl w:val="0"/>
          <w:numId w:val="1014"/>
        </w:numPr>
      </w:pPr>
      <w:r>
        <w:t xml:space="preserve">No major changes to free cash flow or capital allocation.</w:t>
      </w:r>
    </w:p>
    <w:p>
      <w:pPr>
        <w:pStyle w:val="FirstParagraph"/>
      </w:pPr>
      <w:r>
        <w:t xml:space="preserve">The shares’ reaction would likely depend more on the credibility and specificity of Q4 guidance than on the Q3 headline numbers.</w:t>
      </w:r>
    </w:p>
    <w:bookmarkEnd w:id="22"/>
    <w:bookmarkStart w:id="23" w:name="bear-case"/>
    <w:p>
      <w:pPr>
        <w:pStyle w:val="Heading3"/>
      </w:pPr>
      <w:r>
        <w:t xml:space="preserve">Bear case</w:t>
      </w:r>
    </w:p>
    <w:p>
      <w:pPr>
        <w:pStyle w:val="Compact"/>
        <w:numPr>
          <w:ilvl w:val="0"/>
          <w:numId w:val="1015"/>
        </w:numPr>
      </w:pPr>
      <w:r>
        <w:t xml:space="preserve">Revenue guidance is reduced again.</w:t>
      </w:r>
    </w:p>
    <w:p>
      <w:pPr>
        <w:pStyle w:val="Compact"/>
        <w:numPr>
          <w:ilvl w:val="0"/>
          <w:numId w:val="1015"/>
        </w:numPr>
      </w:pPr>
      <w:r>
        <w:t xml:space="preserve">U.S. segment operating-income growth remains in the mid-single digits.</w:t>
      </w:r>
    </w:p>
    <w:p>
      <w:pPr>
        <w:pStyle w:val="Compact"/>
        <w:numPr>
          <w:ilvl w:val="0"/>
          <w:numId w:val="1015"/>
        </w:numPr>
      </w:pPr>
      <w:r>
        <w:t xml:space="preserve">OneOncology does not meaningfully offset the lost oncology customer.</w:t>
      </w:r>
    </w:p>
    <w:p>
      <w:pPr>
        <w:pStyle w:val="Compact"/>
        <w:numPr>
          <w:ilvl w:val="0"/>
          <w:numId w:val="1015"/>
        </w:numPr>
      </w:pPr>
      <w:r>
        <w:t xml:space="preserve">Expense growth remains elevated.</w:t>
      </w:r>
    </w:p>
    <w:p>
      <w:pPr>
        <w:pStyle w:val="Compact"/>
        <w:numPr>
          <w:ilvl w:val="0"/>
          <w:numId w:val="1015"/>
        </w:numPr>
      </w:pPr>
      <w:r>
        <w:t xml:space="preserve">International specialty logistics loses momentum.</w:t>
      </w:r>
    </w:p>
    <w:p>
      <w:pPr>
        <w:pStyle w:val="Compact"/>
        <w:numPr>
          <w:ilvl w:val="0"/>
          <w:numId w:val="1015"/>
        </w:numPr>
      </w:pPr>
      <w:r>
        <w:t xml:space="preserve">Full-year EPS or free-cash-flow guidance is reduced.</w:t>
      </w:r>
    </w:p>
    <w:p>
      <w:pPr>
        <w:pStyle w:val="FirstParagraph"/>
      </w:pPr>
      <w:r>
        <w:t xml:space="preserve">That outcome would indicate that Q2’s revenue issues were an early sign of broader operational pressure.</w:t>
      </w:r>
    </w:p>
    <w:bookmarkEnd w:id="23"/>
    <w:bookmarkEnd w:id="24"/>
    <w:bookmarkStart w:id="25" w:name="bottom-line"/>
    <w:p>
      <w:pPr>
        <w:pStyle w:val="Heading2"/>
      </w:pPr>
      <w:r>
        <w:t xml:space="preserve">Bottom line</w:t>
      </w:r>
    </w:p>
    <w:p>
      <w:pPr>
        <w:pStyle w:val="FirstParagraph"/>
      </w:pPr>
      <w:r>
        <w:t xml:space="preserve">The central question is whether Cencora’s lower revenue growth is genuinely benign.</w:t>
      </w:r>
    </w:p>
    <w:p>
      <w:pPr>
        <w:pStyle w:val="BodyText"/>
      </w:pPr>
      <w:r>
        <w:t xml:space="preserve">Management has argued that manufacturer price reductions and mail-order biosimilar conversions primarily remove low-margin revenue while specialty growth, physician-practice assets and productivity continue to support operating income. Fiscal Q3 needs to validate that argument.</w:t>
      </w:r>
    </w:p>
    <w:p>
      <w:pPr>
        <w:pStyle w:val="BodyText"/>
      </w:pPr>
      <w:r>
        <w:t xml:space="preserve">The cleanest positive report would combine</w:t>
      </w:r>
      <w:r>
        <w:t xml:space="preserve"> </w:t>
      </w:r>
      <w:r>
        <w:rPr>
          <w:b/>
          <w:bCs/>
        </w:rPr>
        <w:t xml:space="preserve">approximately $4.3 or better in adjusted EPS, improving core U.S. operating-income growth, visible OneOncology progress, continued international recovery and an unequivocal reiteration of the</w:t>
      </w:r>
      <w:r>
        <w:rPr>
          <w:b/>
          <w:bCs/>
        </w:rPr>
        <w:t xml:space="preserve"> </w:t>
      </w:r>
      <m:oMath>
        <m:r>
          <m:t>17.65</m:t>
        </m:r>
        <m:r>
          <m:rPr>
            <m:sty m:val="p"/>
          </m:rPr>
          <m:t>–</m:t>
        </m:r>
      </m:oMath>
      <w:r>
        <w:rPr>
          <w:b/>
          <w:bCs/>
        </w:rPr>
        <w:t xml:space="preserve">17.90 full-year EPS range</w:t>
      </w:r>
      <w:r>
        <w:t xml:space="preserve">.</w:t>
      </w:r>
    </w:p>
    <w:p>
      <w:pPr>
        <w:pStyle w:val="BodyText"/>
      </w:pPr>
      <w:r>
        <w:t xml:space="preserve">Conversely, another revenue cut accompanied by weaker profit guidance would undermine the “revenue quality” thesis and make the required fiscal Q4 acceleration considerably harder to underwrite.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2026-08-05T00:25:34Z</dcterms:created>
  <dcterms:modified xsi:type="dcterms:W3CDTF">2026-08-05T00:25:34Z</dcterms:modified>
</cp:coreProperties>
</file>

<file path=docProps/custom.xml><?xml version="1.0" encoding="utf-8"?>
<Properties xmlns="http://schemas.openxmlformats.org/officeDocument/2006/custom-properties" xmlns:vt="http://schemas.openxmlformats.org/officeDocument/2006/docPropsVTypes"/>
</file>