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or-earnings-predictions--2026-08-05"/>
    <w:p>
      <w:pPr>
        <w:pStyle w:val="Heading1"/>
      </w:pPr>
      <w:r>
        <w:t xml:space="preserve">COR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~$4.45 vs. cons $4.37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U.S. Healthcare Solutions operating income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~$1.07B vs. cons $1.04B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Consolidated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~$84.25B vs. cons $84.35B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diluted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~$17.88 midpoint vs. cons $17.79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consolidated revenue-growth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~5.0% midpoint vs. cons 5.0%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U.S. Healthcare Solutions operating-income-growth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~15.0% midpoint vs. cons 15.0%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free-cash-flow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~$3.00B vs. cons $3.00B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+1.0% (FADE)</w:t>
            </w:r>
          </w:p>
        </w:tc>
        <w:tc>
          <w:tcPr/>
          <w:p>
            <w:pPr>
              <w:pStyle w:val="Compact"/>
            </w:pPr>
            <w:r>
              <w:t xml:space="preserve">A modest EPS and U.S. operating-income beat, plus a small FY26 EPS-guide increase, should initially validate earnings quality. However, an unchanged 4%-6% revenue framework and only modest guide upside leave implied fiscal-Q4 EPS at roughly</w:t>
            </w:r>
            <w:r>
              <w:t xml:space="preserve"> </w:t>
            </w:r>
            <m:oMath>
              <m:r>
                <m:t>4.55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4.60 in prior consensus math, limiting out-period estimate revisions after the initial move.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2026-08-05T00:24:35Z</dcterms:created>
  <dcterms:modified xsi:type="dcterms:W3CDTF">2026-08-05T00:24:35Z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