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b92a983c7f70d1800b7d45440611b5526ae53c"/>
    <w:p>
      <w:pPr>
        <w:pStyle w:val="Heading1"/>
      </w:pPr>
      <w:r>
        <w:t xml:space="preserve">Cencora (NYSE: COR) — Fiscal 3Q26 Earnings Preview</w:t>
      </w:r>
    </w:p>
    <w:p>
      <w:pPr>
        <w:pStyle w:val="BlockText"/>
      </w:pPr>
      <w:r>
        <w:rPr>
          <w:b/>
          <w:bCs/>
        </w:rPr>
        <w:t xml:space="preserve">Timing clarification:</w:t>
      </w:r>
      <w:r>
        <w:t xml:space="preserve"> </w:t>
      </w:r>
      <w:r>
        <w:t xml:space="preserve">Cencora is scheduled to report</w:t>
      </w:r>
      <w:r>
        <w:t xml:space="preserve"> </w:t>
      </w:r>
      <w:r>
        <w:rPr>
          <w:b/>
          <w:bCs/>
        </w:rPr>
        <w:t xml:space="preserve">before the market opens on Wednesday, August 5, 2026</w:t>
      </w:r>
      <w:r>
        <w:t xml:space="preserve">, with its earnings call at</w:t>
      </w:r>
      <w:r>
        <w:t xml:space="preserve"> </w:t>
      </w:r>
      <w:r>
        <w:rPr>
          <w:b/>
          <w:bCs/>
        </w:rPr>
        <w:t xml:space="preserve">8:30 a.m. ET</w:t>
      </w:r>
      <w:r>
        <w:t xml:space="preserve">. Given today’s date is August 5, this is</w:t>
      </w:r>
      <w:r>
        <w:t xml:space="preserve"> </w:t>
      </w:r>
      <w:r>
        <w:rPr>
          <w:b/>
          <w:bCs/>
        </w:rPr>
        <w:t xml:space="preserve">today’s</w:t>
      </w:r>
      <w:r>
        <w:t xml:space="preserve"> </w:t>
      </w:r>
      <w:r>
        <w:t xml:space="preserve">event—not tomorrow’s.</w:t>
      </w:r>
    </w:p>
    <w:bookmarkStart w:id="9" w:name="X5010a916d93da8724893c65c5c819262d1cbb9c"/>
    <w:p>
      <w:pPr>
        <w:pStyle w:val="Heading2"/>
      </w:pPr>
      <w:r>
        <w:t xml:space="preserve">Investment view: earnings quality and the FY26 exit rate matter more than revenue</w:t>
      </w:r>
    </w:p>
    <w:p>
      <w:pPr>
        <w:pStyle w:val="FirstParagraph"/>
      </w:pPr>
      <w:r>
        <w:t xml:space="preserve">Cencora enters fiscal 3Q26 with a clear debate: the company cut its</w:t>
      </w:r>
      <w:r>
        <w:t xml:space="preserve"> </w:t>
      </w:r>
      <w:r>
        <w:rPr>
          <w:b/>
          <w:bCs/>
        </w:rPr>
        <w:t xml:space="preserve">revenue-growth</w:t>
      </w:r>
      <w:r>
        <w:t xml:space="preserve"> </w:t>
      </w:r>
      <w:r>
        <w:t xml:space="preserve">outlook last quarter because of slower GLP-1 growth, manufacturer price reductions, and faster biosimilar conversion at a large mail-order customer—but it simultaneously</w:t>
      </w:r>
      <w:r>
        <w:t xml:space="preserve"> </w:t>
      </w:r>
      <w:r>
        <w:rPr>
          <w:b/>
          <w:bCs/>
        </w:rPr>
        <w:t xml:space="preserve">raised adjusted EPS guidance</w:t>
      </w:r>
      <w:r>
        <w:t xml:space="preserve">. The report must therefore validate that mix changes are largely revenue issues rather than a structural hit to dollar profit or operating-income growth.</w:t>
      </w:r>
    </w:p>
    <w:p>
      <w:pPr>
        <w:pStyle w:val="BodyText"/>
      </w:pPr>
      <w:r>
        <w:t xml:space="preserve">The central test is whether Cencora can deliver the</w:t>
      </w:r>
      <w:r>
        <w:t xml:space="preserve"> </w:t>
      </w:r>
      <w:r>
        <w:rPr>
          <w:b/>
          <w:bCs/>
        </w:rPr>
        <w:t xml:space="preserve">high-single-digit adjusted EPS growth</w:t>
      </w:r>
      <w:r>
        <w:t xml:space="preserve"> </w:t>
      </w:r>
      <w:r>
        <w:t xml:space="preserve">management specifically guided for in fiscal Q3, while reaffirming the framework for a substantially stronger fiscal Q4.</w:t>
      </w:r>
    </w:p>
    <w:bookmarkEnd w:id="9"/>
    <w:bookmarkStart w:id="10" w:name="what-management-has-guided-to"/>
    <w:p>
      <w:pPr>
        <w:pStyle w:val="Heading2"/>
      </w:pPr>
      <w:r>
        <w:t xml:space="preserve">What management has guided to</w:t>
      </w:r>
    </w:p>
    <w:p>
      <w:pPr>
        <w:pStyle w:val="FirstParagraph"/>
      </w:pPr>
      <w:r>
        <w:t xml:space="preserve">At fiscal 2Q26 results, Cencora raised FY26 adjusted diluted EPS guidance to</w:t>
      </w:r>
      <w:r>
        <w:t xml:space="preserve"> </w:t>
      </w:r>
      <m:oMath>
        <m:r>
          <m:t>17.65</m:t>
        </m:r>
        <m:r>
          <m:rPr>
            <m:sty m:val="p"/>
          </m:rPr>
          <m:t>–</m:t>
        </m:r>
      </m:oMath>
      <w:r>
        <w:rPr>
          <w:b/>
          <w:bCs/>
        </w:rPr>
        <w:t xml:space="preserve">17.90</w:t>
      </w:r>
      <w:r>
        <w:t xml:space="preserve">, from</w:t>
      </w:r>
      <w:r>
        <w:t xml:space="preserve"> </w:t>
      </w:r>
      <m:oMath>
        <m:r>
          <m:t>17.45</m:t>
        </m:r>
        <m:r>
          <m:rPr>
            <m:sty m:val="p"/>
          </m:rPr>
          <m:t>–</m:t>
        </m:r>
      </m:oMath>
      <w:r>
        <w:t xml:space="preserve">17.75. It retained expectations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metric</w:t>
            </w:r>
          </w:p>
        </w:tc>
        <w:tc>
          <w:tcPr/>
          <w:p>
            <w:pPr>
              <w:pStyle w:val="Compact"/>
              <w:jc w:val="right"/>
            </w:pPr>
            <w:r>
              <w:t xml:space="preserve">Current guidance</w:t>
            </w:r>
          </w:p>
        </w:tc>
      </w:tr>
      <w:tr>
        <w:tc>
          <w:tcPr/>
          <w:p>
            <w:pPr>
              <w:pStyle w:val="Compact"/>
            </w:pPr>
            <w:r>
              <w:t xml:space="preserve">Consolidated revenue growth</w:t>
            </w:r>
          </w:p>
        </w:tc>
        <w:tc>
          <w:tcPr/>
          <w:p>
            <w:pPr>
              <w:pStyle w:val="Compact"/>
              <w:jc w:val="right"/>
            </w:pPr>
            <w:r>
              <w:rPr>
                <w:b/>
                <w:bCs/>
              </w:rPr>
              <w:t xml:space="preserve">4%–6%</w:t>
            </w:r>
          </w:p>
        </w:tc>
      </w:tr>
      <w:tr>
        <w:tc>
          <w:tcPr/>
          <w:p>
            <w:pPr>
              <w:pStyle w:val="Compact"/>
            </w:pPr>
            <w:r>
              <w:t xml:space="preserve">U.S. Healthcare Solutions revenue growth</w:t>
            </w:r>
          </w:p>
        </w:tc>
        <w:tc>
          <w:tcPr/>
          <w:p>
            <w:pPr>
              <w:pStyle w:val="Compact"/>
              <w:jc w:val="right"/>
            </w:pPr>
            <w:r>
              <w:rPr>
                <w:b/>
                <w:bCs/>
              </w:rPr>
              <w:t xml:space="preserve">4%–6%</w:t>
            </w:r>
          </w:p>
        </w:tc>
      </w:tr>
      <w:tr>
        <w:tc>
          <w:tcPr/>
          <w:p>
            <w:pPr>
              <w:pStyle w:val="Compact"/>
            </w:pPr>
            <w:r>
              <w:t xml:space="preserve">International Healthcare Solutions revenue growth</w:t>
            </w:r>
          </w:p>
        </w:tc>
        <w:tc>
          <w:tcPr/>
          <w:p>
            <w:pPr>
              <w:pStyle w:val="Compact"/>
              <w:jc w:val="right"/>
            </w:pPr>
            <w:r>
              <w:rPr>
                <w:b/>
                <w:bCs/>
              </w:rPr>
              <w:t xml:space="preserve">8%–10%</w:t>
            </w:r>
            <w:r>
              <w:t xml:space="preserve"> </w:t>
            </w:r>
            <w:r>
              <w:t xml:space="preserve">reported</w:t>
            </w:r>
          </w:p>
        </w:tc>
      </w:tr>
      <w:tr>
        <w:tc>
          <w:tcPr/>
          <w:p>
            <w:pPr>
              <w:pStyle w:val="Compact"/>
            </w:pPr>
            <w:r>
              <w:t xml:space="preserve">Consolidated adjusted operating-income growth</w:t>
            </w:r>
          </w:p>
        </w:tc>
        <w:tc>
          <w:tcPr/>
          <w:p>
            <w:pPr>
              <w:pStyle w:val="Compact"/>
              <w:jc w:val="right"/>
            </w:pPr>
            <w:r>
              <w:rPr>
                <w:b/>
                <w:bCs/>
              </w:rPr>
              <w:t xml:space="preserve">12%–14%</w:t>
            </w:r>
          </w:p>
        </w:tc>
      </w:tr>
      <w:tr>
        <w:tc>
          <w:tcPr/>
          <w:p>
            <w:pPr>
              <w:pStyle w:val="Compact"/>
            </w:pPr>
            <w:r>
              <w:t xml:space="preserve">U.S. Healthcare Solutions operating-income growth</w:t>
            </w:r>
          </w:p>
        </w:tc>
        <w:tc>
          <w:tcPr/>
          <w:p>
            <w:pPr>
              <w:pStyle w:val="Compact"/>
              <w:jc w:val="right"/>
            </w:pPr>
            <w:r>
              <w:rPr>
                <w:b/>
                <w:bCs/>
              </w:rPr>
              <w:t xml:space="preserve">14%–16%</w:t>
            </w:r>
          </w:p>
        </w:tc>
      </w:tr>
      <w:tr>
        <w:tc>
          <w:tcPr/>
          <w:p>
            <w:pPr>
              <w:pStyle w:val="Compact"/>
            </w:pPr>
            <w:r>
              <w:t xml:space="preserve">International Healthcare Solutions operating-income growth</w:t>
            </w:r>
          </w:p>
        </w:tc>
        <w:tc>
          <w:tcPr/>
          <w:p>
            <w:pPr>
              <w:pStyle w:val="Compact"/>
              <w:jc w:val="right"/>
            </w:pPr>
            <w:r>
              <w:rPr>
                <w:b/>
                <w:bCs/>
              </w:rPr>
              <w:t xml:space="preserve">5%–8%</w:t>
            </w:r>
          </w:p>
        </w:tc>
      </w:tr>
      <w:tr>
        <w:tc>
          <w:tcPr/>
          <w:p>
            <w:pPr>
              <w:pStyle w:val="Compact"/>
            </w:pPr>
            <w:r>
              <w:t xml:space="preserve">Adjusted EPS</w:t>
            </w:r>
          </w:p>
        </w:tc>
        <w:tc>
          <w:tcPr/>
          <w:p>
            <w:pPr>
              <w:pStyle w:val="Compact"/>
              <w:jc w:val="right"/>
            </w:pPr>
            <m:oMath>
              <m:r>
                <m:t>17.65</m:t>
              </m:r>
              <m:r>
                <m:rPr>
                  <m:sty m:val="p"/>
                </m:rPr>
                <m:t>–</m:t>
              </m:r>
            </m:oMath>
            <w:r>
              <w:rPr>
                <w:b/>
                <w:bCs/>
              </w:rPr>
              <w:t xml:space="preserve">17.90</w:t>
            </w:r>
          </w:p>
        </w:tc>
      </w:tr>
      <w:tr>
        <w:tc>
          <w:tcPr/>
          <w:p>
            <w:pPr>
              <w:pStyle w:val="Compact"/>
            </w:pPr>
            <w:r>
              <w:t xml:space="preserve">Net interest expense</w:t>
            </w:r>
          </w:p>
        </w:tc>
        <w:tc>
          <w:tcPr/>
          <w:p>
            <w:pPr>
              <w:pStyle w:val="Compact"/>
              <w:jc w:val="right"/>
            </w:pPr>
            <w:r>
              <w:rPr>
                <w:b/>
                <w:bCs/>
              </w:rPr>
              <w:t xml:space="preserve">~$485 million</w:t>
            </w:r>
          </w:p>
        </w:tc>
      </w:tr>
      <w:tr>
        <w:tc>
          <w:tcPr/>
          <w:p>
            <w:pPr>
              <w:pStyle w:val="Compact"/>
            </w:pPr>
            <w:r>
              <w:t xml:space="preserve">Adjusted tax rate</w:t>
            </w:r>
          </w:p>
        </w:tc>
        <w:tc>
          <w:tcPr/>
          <w:p>
            <w:pPr>
              <w:pStyle w:val="Compact"/>
              <w:jc w:val="right"/>
            </w:pPr>
            <w:r>
              <w:rPr>
                <w:b/>
                <w:bCs/>
              </w:rPr>
              <w:t xml:space="preserve">~20%</w:t>
            </w:r>
          </w:p>
        </w:tc>
      </w:tr>
      <w:tr>
        <w:tc>
          <w:tcPr/>
          <w:p>
            <w:pPr>
              <w:pStyle w:val="Compact"/>
            </w:pPr>
            <w:r>
              <w:t xml:space="preserve">Adjusted free cash flow</w:t>
            </w:r>
          </w:p>
        </w:tc>
        <w:tc>
          <w:tcPr/>
          <w:p>
            <w:pPr>
              <w:pStyle w:val="Compact"/>
              <w:jc w:val="right"/>
            </w:pPr>
            <w:r>
              <w:rPr>
                <w:b/>
                <w:bCs/>
              </w:rPr>
              <w:t xml:space="preserve">~$3.0 billion</w:t>
            </w:r>
          </w:p>
        </w:tc>
      </w:tr>
    </w:tbl>
    <w:p>
      <w:pPr>
        <w:pStyle w:val="BodyText"/>
      </w:pPr>
      <w:r>
        <w:t xml:space="preserve">For fiscal Q3 specifically, management said to expect</w:t>
      </w:r>
      <w:r>
        <w:t xml:space="preserve"> </w:t>
      </w:r>
      <w:r>
        <w:rPr>
          <w:b/>
          <w:bCs/>
        </w:rPr>
        <w:t xml:space="preserve">high-single-digit adjusted EPS growth</w:t>
      </w:r>
      <w:r>
        <w:t xml:space="preserve"> </w:t>
      </w:r>
      <w:r>
        <w:t xml:space="preserve">and net interest expense roughly in line with Q2’s</w:t>
      </w:r>
      <w:r>
        <w:t xml:space="preserve"> </w:t>
      </w:r>
      <m:oMath>
        <m:r>
          <m:t>140</m:t>
        </m:r>
        <m:r>
          <m:t>m</m:t>
        </m:r>
        <m:r>
          <m:t>i</m:t>
        </m:r>
        <m:r>
          <m:t>l</m:t>
        </m:r>
        <m:r>
          <m:t>l</m:t>
        </m:r>
        <m:r>
          <m:t>i</m:t>
        </m:r>
        <m:r>
          <m:t>o</m:t>
        </m:r>
        <m:r>
          <m:t>n</m:t>
        </m:r>
        <m:r>
          <m:rPr>
            <m:sty m:val="p"/>
          </m:rPr>
          <m:t>*</m:t>
        </m:r>
        <m:r>
          <m:rPr>
            <m:sty m:val="p"/>
          </m:rPr>
          <m:t>*</m:t>
        </m:r>
        <m:r>
          <m:rPr>
            <m:sty m:val="p"/>
          </m:rPr>
          <m:t>.</m:t>
        </m:r>
        <m:r>
          <m:t>A</m:t>
        </m:r>
        <m:r>
          <m:t>g</m:t>
        </m:r>
        <m:r>
          <m:t>a</m:t>
        </m:r>
        <m:r>
          <m:t>i</m:t>
        </m:r>
        <m:r>
          <m:t>n</m:t>
        </m:r>
        <m:r>
          <m:t>s</m:t>
        </m:r>
        <m:r>
          <m:t>t</m:t>
        </m:r>
        <m:r>
          <m:t>f</m:t>
        </m:r>
        <m:r>
          <m:t>i</m:t>
        </m:r>
        <m:r>
          <m:t>s</m:t>
        </m:r>
        <m:r>
          <m:t>c</m:t>
        </m:r>
        <m:r>
          <m:t>a</m:t>
        </m:r>
        <m:r>
          <m:t>l</m:t>
        </m:r>
        <m:r>
          <m:t>3</m:t>
        </m:r>
        <m:r>
          <m:t>Q</m:t>
        </m:r>
        <m:r>
          <m:t>25</m:t>
        </m:r>
        <m:r>
          <m:t>a</m:t>
        </m:r>
        <m:r>
          <m:t>d</m:t>
        </m:r>
        <m:r>
          <m:t>j</m:t>
        </m:r>
        <m:r>
          <m:t>u</m:t>
        </m:r>
        <m:r>
          <m:t>s</m:t>
        </m:r>
        <m:r>
          <m:t>t</m:t>
        </m:r>
        <m:r>
          <m:t>e</m:t>
        </m:r>
        <m:r>
          <m:t>d</m:t>
        </m:r>
        <m:r>
          <m:t>E</m:t>
        </m:r>
        <m:r>
          <m:t>P</m:t>
        </m:r>
        <m:r>
          <m:t>S</m:t>
        </m:r>
        <m:r>
          <m:t>o</m:t>
        </m:r>
        <m:r>
          <m:t>f</m:t>
        </m:r>
        <m:r>
          <m:rPr>
            <m:sty m:val="p"/>
          </m:rPr>
          <m:t>*</m:t>
        </m:r>
        <m:r>
          <m:rPr>
            <m:sty m:val="p"/>
          </m:rPr>
          <m:t>*</m:t>
        </m:r>
      </m:oMath>
      <w:r>
        <w:rPr>
          <w:b/>
          <w:bCs/>
        </w:rPr>
        <w:t xml:space="preserve">4.00</w:t>
      </w:r>
      <w:r>
        <w:t xml:space="preserve">, that implies a directional Q3 EPS bogey around</w:t>
      </w:r>
      <w:r>
        <w:t xml:space="preserve"> </w:t>
      </w:r>
      <m:oMath>
        <m:r>
          <m:t>4.32</m:t>
        </m:r>
        <m:r>
          <m:rPr>
            <m:sty m:val="p"/>
          </m:rPr>
          <m:t>–</m:t>
        </m:r>
      </m:oMath>
      <w:r>
        <w:rPr>
          <w:b/>
          <w:bCs/>
        </w:rPr>
        <w:t xml:space="preserve">4.40</w:t>
      </w:r>
      <w:r>
        <w:t xml:space="preserve">.</w:t>
      </w:r>
    </w:p>
    <w:p>
      <w:pPr>
        <w:pStyle w:val="BodyText"/>
      </w:pPr>
      <w:r>
        <w:t xml:space="preserve">The arithmetic also makes the back half important. Cencora earned</w:t>
      </w:r>
      <w:r>
        <w:t xml:space="preserve"> </w:t>
      </w:r>
      <w:r>
        <w:rPr>
          <w:b/>
          <w:bCs/>
        </w:rPr>
        <w:t xml:space="preserve">$8.83</w:t>
      </w:r>
      <w:r>
        <w:t xml:space="preserve"> </w:t>
      </w:r>
      <w:r>
        <w:t xml:space="preserve">in adjusted EPS through the first six months. A roughly</w:t>
      </w:r>
      <w:r>
        <w:t xml:space="preserve"> </w:t>
      </w:r>
      <m:oMath>
        <m:r>
          <m:t>4.3</m:t>
        </m:r>
        <m:r>
          <m:rPr>
            <m:sty m:val="p"/>
          </m:rPr>
          <m:t>–</m:t>
        </m:r>
      </m:oMath>
      <w:r>
        <w:t xml:space="preserve">4.4 Q3 would leave a sizeable</w:t>
      </w:r>
      <w:r>
        <w:t xml:space="preserve"> </w:t>
      </w:r>
      <m:oMath>
        <m:r>
          <m:t>4.4</m:t>
        </m:r>
        <m:r>
          <m:rPr>
            <m:sty m:val="p"/>
          </m:rPr>
          <m:t>–</m:t>
        </m:r>
      </m:oMath>
      <w:r>
        <w:rPr>
          <w:b/>
          <w:bCs/>
        </w:rPr>
        <w:t xml:space="preserve">4.8</w:t>
      </w:r>
      <w:r>
        <w:t xml:space="preserve"> </w:t>
      </w:r>
      <w:r>
        <w:t xml:space="preserve">of implied Q4 adjusted EPS needed to reach the full-year guide. That makes the credibility of management’s Q4 acceleration commentary a key share-price driver.</w:t>
      </w:r>
    </w:p>
    <w:bookmarkEnd w:id="10"/>
    <w:bookmarkStart w:id="14" w:name="the-three-issues-that-matter-most"/>
    <w:p>
      <w:pPr>
        <w:pStyle w:val="Heading2"/>
      </w:pPr>
      <w:r>
        <w:t xml:space="preserve">The three issues that matter most</w:t>
      </w:r>
    </w:p>
    <w:bookmarkStart w:id="11" w:name="X70c7e4b86be0c367f5adb37ed82391e324f6e52"/>
    <w:p>
      <w:pPr>
        <w:pStyle w:val="Heading3"/>
      </w:pPr>
      <w:r>
        <w:t xml:space="preserve">1. Can U.S. operating-income growth accelerate despite soft revenue?</w:t>
      </w:r>
    </w:p>
    <w:p>
      <w:pPr>
        <w:pStyle w:val="FirstParagraph"/>
      </w:pPr>
      <w:r>
        <w:t xml:space="preserve">In fiscal Q2, U.S. Healthcare Solutions revenue grew only</w:t>
      </w:r>
      <w:r>
        <w:t xml:space="preserve"> </w:t>
      </w:r>
      <w:r>
        <w:rPr>
          <w:b/>
          <w:bCs/>
        </w:rPr>
        <w:t xml:space="preserve">2.9%</w:t>
      </w:r>
      <w:r>
        <w:t xml:space="preserve">, while segment operating income grew</w:t>
      </w:r>
      <w:r>
        <w:t xml:space="preserve"> </w:t>
      </w:r>
      <w:r>
        <w:rPr>
          <w:b/>
          <w:bCs/>
        </w:rPr>
        <w:t xml:space="preserve">5.6%</w:t>
      </w:r>
      <w:r>
        <w:t xml:space="preserve">. Revenue was held back by:</w:t>
      </w:r>
    </w:p>
    <w:p>
      <w:pPr>
        <w:pStyle w:val="Compact"/>
        <w:numPr>
          <w:ilvl w:val="0"/>
          <w:numId w:val="1001"/>
        </w:numPr>
      </w:pPr>
      <w:r>
        <w:t xml:space="preserve">Approximately</w:t>
      </w:r>
      <w:r>
        <w:t xml:space="preserve"> </w:t>
      </w:r>
      <w:r>
        <w:rPr>
          <w:b/>
          <w:bCs/>
        </w:rPr>
        <w:t xml:space="preserve">$2 billion</w:t>
      </w:r>
      <w:r>
        <w:t xml:space="preserve"> </w:t>
      </w:r>
      <w:r>
        <w:t xml:space="preserve">of manufacturer list-price/WAC reductions;</w:t>
      </w:r>
    </w:p>
    <w:p>
      <w:pPr>
        <w:pStyle w:val="Compact"/>
        <w:numPr>
          <w:ilvl w:val="0"/>
          <w:numId w:val="1001"/>
        </w:numPr>
      </w:pPr>
      <w:r>
        <w:t xml:space="preserve">Slower-than-expected GLP-1 growth;</w:t>
      </w:r>
    </w:p>
    <w:p>
      <w:pPr>
        <w:pStyle w:val="Compact"/>
        <w:numPr>
          <w:ilvl w:val="0"/>
          <w:numId w:val="1001"/>
        </w:numPr>
      </w:pPr>
      <w:r>
        <w:t xml:space="preserve">Faster conversion from branded products to biosimilars at a large mail-order customer;</w:t>
      </w:r>
    </w:p>
    <w:p>
      <w:pPr>
        <w:pStyle w:val="Compact"/>
        <w:numPr>
          <w:ilvl w:val="0"/>
          <w:numId w:val="1001"/>
        </w:numPr>
      </w:pPr>
      <w:r>
        <w:t xml:space="preserve">Prior loss of an oncology customer and a grocery customer.</w:t>
      </w:r>
    </w:p>
    <w:p>
      <w:pPr>
        <w:pStyle w:val="FirstParagraph"/>
      </w:pPr>
      <w:r>
        <w:t xml:space="preserve">Management’s position is that the mail-order conversion is mainly a</w:t>
      </w:r>
      <w:r>
        <w:t xml:space="preserve"> </w:t>
      </w:r>
      <w:r>
        <w:rPr>
          <w:b/>
          <w:bCs/>
        </w:rPr>
        <w:t xml:space="preserve">low-margin revenue headwind</w:t>
      </w:r>
      <w:r>
        <w:t xml:space="preserve">, not a material profit headwind, and that manufacturer price changes can be commercially managed to preserve dollar economics.</w:t>
      </w:r>
    </w:p>
    <w:p>
      <w:pPr>
        <w:pStyle w:val="BodyText"/>
      </w:pPr>
      <w:r>
        <w:t xml:space="preserve">Investors should look for proof in the following metrics:</w:t>
      </w:r>
    </w:p>
    <w:p>
      <w:pPr>
        <w:pStyle w:val="Compact"/>
        <w:numPr>
          <w:ilvl w:val="0"/>
          <w:numId w:val="1002"/>
        </w:numPr>
      </w:pPr>
      <w:r>
        <w:t xml:space="preserve">U.S. Healthcare Solutions operating-income growth versus the</w:t>
      </w:r>
      <w:r>
        <w:t xml:space="preserve"> </w:t>
      </w:r>
      <w:r>
        <w:rPr>
          <w:b/>
          <w:bCs/>
        </w:rPr>
        <w:t xml:space="preserve">14%–16% FY26</w:t>
      </w:r>
      <w:r>
        <w:t xml:space="preserve"> </w:t>
      </w:r>
      <w:r>
        <w:t xml:space="preserve">target;</w:t>
      </w:r>
    </w:p>
    <w:p>
      <w:pPr>
        <w:pStyle w:val="Compact"/>
        <w:numPr>
          <w:ilvl w:val="0"/>
          <w:numId w:val="1002"/>
        </w:numPr>
      </w:pPr>
      <w:r>
        <w:t xml:space="preserve">Adjusted operating margin and gross-profit-dollar progression, rather than revenue growth alone;</w:t>
      </w:r>
    </w:p>
    <w:p>
      <w:pPr>
        <w:pStyle w:val="Compact"/>
        <w:numPr>
          <w:ilvl w:val="0"/>
          <w:numId w:val="1002"/>
        </w:numPr>
      </w:pPr>
      <w:r>
        <w:t xml:space="preserve">Commentary on GLP-1 volumes and mix;</w:t>
      </w:r>
    </w:p>
    <w:p>
      <w:pPr>
        <w:pStyle w:val="Compact"/>
        <w:numPr>
          <w:ilvl w:val="0"/>
          <w:numId w:val="1002"/>
        </w:numPr>
      </w:pPr>
      <w:r>
        <w:t xml:space="preserve">Any incremental customer loss, channel shift, or accelerated biosimilar conversion.</w:t>
      </w:r>
    </w:p>
    <w:p>
      <w:pPr>
        <w:pStyle w:val="FirstParagraph"/>
      </w:pPr>
      <w:r>
        <w:t xml:space="preserve">A clean outcome would be stable or improving profit performance even if revenue remains below historical growth rates.</w:t>
      </w:r>
    </w:p>
    <w:bookmarkEnd w:id="11"/>
    <w:bookmarkStart w:id="12" w:name="Xf194075129e47fb16114459e5874a4e4d12db77"/>
    <w:p>
      <w:pPr>
        <w:pStyle w:val="Heading3"/>
      </w:pPr>
      <w:r>
        <w:t xml:space="preserve">2. Is OneOncology beginning to provide the expected accretion?</w:t>
      </w:r>
    </w:p>
    <w:p>
      <w:pPr>
        <w:pStyle w:val="FirstParagraph"/>
      </w:pPr>
      <w:r>
        <w:t xml:space="preserve">Cencora completed its acquisition of OneOncology in February 2026. The transaction lifted gross-profit and operating-expense dollars in Q2, while management indicated that</w:t>
      </w:r>
      <w:r>
        <w:t xml:space="preserve"> </w:t>
      </w:r>
      <w:r>
        <w:rPr>
          <w:b/>
          <w:bCs/>
        </w:rPr>
        <w:t xml:space="preserve">accretion should ramp through the year</w:t>
      </w:r>
      <w:r>
        <w:t xml:space="preserve">.</w:t>
      </w:r>
    </w:p>
    <w:p>
      <w:pPr>
        <w:pStyle w:val="BodyText"/>
      </w:pPr>
      <w:r>
        <w:t xml:space="preserve">The company has also emphasized collaboration between OneOncology and Retina Consultants of America (RCA), particularly in clinical trials, administrative functions, physician recruitment and retention, and sharing operating practices. These assets increase Cencora’s exposure to physician-administered specialty therapies and Part B economics—an area management believes benefits from biosimilar adoption, in contrast to the mail-order/Part D channel.</w:t>
      </w:r>
    </w:p>
    <w:p>
      <w:pPr>
        <w:pStyle w:val="BodyText"/>
      </w:pPr>
      <w:r>
        <w:t xml:space="preserve">Key questions:</w:t>
      </w:r>
    </w:p>
    <w:p>
      <w:pPr>
        <w:pStyle w:val="Compact"/>
        <w:numPr>
          <w:ilvl w:val="0"/>
          <w:numId w:val="1003"/>
        </w:numPr>
      </w:pPr>
      <w:r>
        <w:t xml:space="preserve">Is OneOncology tracking to deal assumptions?</w:t>
      </w:r>
    </w:p>
    <w:p>
      <w:pPr>
        <w:pStyle w:val="Compact"/>
        <w:numPr>
          <w:ilvl w:val="0"/>
          <w:numId w:val="1003"/>
        </w:numPr>
      </w:pPr>
      <w:r>
        <w:t xml:space="preserve">Are early integration benefits visible in margin, physician retention, or patient volumes?</w:t>
      </w:r>
    </w:p>
    <w:p>
      <w:pPr>
        <w:pStyle w:val="Compact"/>
        <w:numPr>
          <w:ilvl w:val="0"/>
          <w:numId w:val="1003"/>
        </w:numPr>
      </w:pPr>
      <w:r>
        <w:t xml:space="preserve">Does management still expect the acquisition to be a larger Q4 contributor?</w:t>
      </w:r>
    </w:p>
    <w:p>
      <w:pPr>
        <w:pStyle w:val="Compact"/>
        <w:numPr>
          <w:ilvl w:val="0"/>
          <w:numId w:val="1003"/>
        </w:numPr>
      </w:pPr>
      <w:r>
        <w:t xml:space="preserve">Is there updated commentary on bolt-on MSO activity, including EyeSouth’s retina business?</w:t>
      </w:r>
    </w:p>
    <w:bookmarkEnd w:id="12"/>
    <w:bookmarkStart w:id="13" w:name="X167b088fef6a410cb2cbe15743b15790186a5d4"/>
    <w:p>
      <w:pPr>
        <w:pStyle w:val="Heading3"/>
      </w:pPr>
      <w:r>
        <w:t xml:space="preserve">3. Does International sustain its improving trend?</w:t>
      </w:r>
    </w:p>
    <w:p>
      <w:pPr>
        <w:pStyle w:val="FirstParagraph"/>
      </w:pPr>
      <w:r>
        <w:t xml:space="preserve">International Healthcare Solutions delivered fiscal Q2 revenue growth of</w:t>
      </w:r>
      <w:r>
        <w:t xml:space="preserve"> </w:t>
      </w:r>
      <w:r>
        <w:rPr>
          <w:b/>
          <w:bCs/>
        </w:rPr>
        <w:t xml:space="preserve">13.0% reported</w:t>
      </w:r>
      <w:r>
        <w:t xml:space="preserve"> </w:t>
      </w:r>
      <w:r>
        <w:t xml:space="preserve">and</w:t>
      </w:r>
      <w:r>
        <w:t xml:space="preserve"> </w:t>
      </w:r>
      <w:r>
        <w:rPr>
          <w:b/>
          <w:bCs/>
        </w:rPr>
        <w:t xml:space="preserve">7.2% constant currency</w:t>
      </w:r>
      <w:r>
        <w:t xml:space="preserve">, with operating income up</w:t>
      </w:r>
      <w:r>
        <w:t xml:space="preserve"> </w:t>
      </w:r>
      <w:r>
        <w:rPr>
          <w:b/>
          <w:bCs/>
        </w:rPr>
        <w:t xml:space="preserve">13.7% reported</w:t>
      </w:r>
      <w:r>
        <w:t xml:space="preserve">. The result benefited from European distribution growth and a continued rebound at global specialty logistics/World Courier.</w:t>
      </w:r>
    </w:p>
    <w:p>
      <w:pPr>
        <w:pStyle w:val="BodyText"/>
      </w:pPr>
      <w:r>
        <w:t xml:space="preserve">This is important because the prior-year Q3 comparison was weak: fiscal 3Q25 International operating income declined</w:t>
      </w:r>
      <w:r>
        <w:t xml:space="preserve"> </w:t>
      </w:r>
      <w:r>
        <w:rPr>
          <w:b/>
          <w:bCs/>
        </w:rPr>
        <w:t xml:space="preserve">12.9%</w:t>
      </w:r>
      <w:r>
        <w:t xml:space="preserve">, largely due to global specialty logistics and consulting-service pressure. Cencora’s Q2 call suggested logistics had now produced two consecutive quarters of operating-income growth and had won contracts in cell and gene therapy and laboratory logistics.</w:t>
      </w:r>
    </w:p>
    <w:p>
      <w:pPr>
        <w:pStyle w:val="BodyText"/>
      </w:pPr>
      <w:r>
        <w:t xml:space="preserve">A sustained logistics recovery and stable European distribution margins would strengthen confidence in the</w:t>
      </w:r>
      <w:r>
        <w:t xml:space="preserve"> </w:t>
      </w:r>
      <w:r>
        <w:rPr>
          <w:b/>
          <w:bCs/>
        </w:rPr>
        <w:t xml:space="preserve">5%–8% FY26 International operating-income</w:t>
      </w:r>
      <w:r>
        <w:t xml:space="preserve"> </w:t>
      </w:r>
      <w:r>
        <w:t xml:space="preserve">target.</w:t>
      </w:r>
    </w:p>
    <w:bookmarkEnd w:id="13"/>
    <w:bookmarkEnd w:id="14"/>
    <w:bookmarkStart w:id="15" w:name="q3-comparison-and-expected-cadence"/>
    <w:p>
      <w:pPr>
        <w:pStyle w:val="Heading2"/>
      </w:pPr>
      <w:r>
        <w:t xml:space="preserve">Q3 comparison and expected cadence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Fiscal 3Q25 actual</w:t>
            </w:r>
          </w:p>
        </w:tc>
        <w:tc>
          <w:tcPr/>
          <w:p>
            <w:pPr>
              <w:pStyle w:val="Compact"/>
            </w:pPr>
            <w:r>
              <w:t xml:space="preserve">Fiscal 3Q26 setup</w:t>
            </w:r>
          </w:p>
        </w:tc>
      </w:tr>
      <w:tr>
        <w:tc>
          <w:tcPr/>
          <w:p>
            <w:pPr>
              <w:pStyle w:val="Compact"/>
            </w:pPr>
            <w:r>
              <w:t xml:space="preserve">Revenue</w:t>
            </w:r>
          </w:p>
        </w:tc>
        <w:tc>
          <w:tcPr/>
          <w:p>
            <w:pPr>
              <w:pStyle w:val="Compact"/>
              <w:jc w:val="right"/>
            </w:pPr>
            <w:r>
              <w:rPr>
                <w:b/>
                <w:bCs/>
              </w:rPr>
              <w:t xml:space="preserve">$80.7B</w:t>
            </w:r>
          </w:p>
        </w:tc>
        <w:tc>
          <w:tcPr/>
          <w:p>
            <w:pPr>
              <w:pStyle w:val="Compact"/>
            </w:pPr>
            <w:r>
              <w:t xml:space="preserve">Revenue growth should be judged against a reduced FY26</w:t>
            </w:r>
            <w:r>
              <w:t xml:space="preserve"> </w:t>
            </w:r>
            <w:r>
              <w:rPr>
                <w:b/>
                <w:bCs/>
              </w:rPr>
              <w:t xml:space="preserve">4%–6%</w:t>
            </w:r>
            <w:r>
              <w:t xml:space="preserve"> </w:t>
            </w:r>
            <w:r>
              <w:t xml:space="preserve">framework</w:t>
            </w:r>
          </w:p>
        </w:tc>
      </w:tr>
      <w:tr>
        <w:tc>
          <w:tcPr/>
          <w:p>
            <w:pPr>
              <w:pStyle w:val="Compact"/>
            </w:pPr>
            <w:r>
              <w:t xml:space="preserve">Adjusted operating income</w:t>
            </w:r>
          </w:p>
        </w:tc>
        <w:tc>
          <w:tcPr/>
          <w:p>
            <w:pPr>
              <w:pStyle w:val="Compact"/>
              <w:jc w:val="right"/>
            </w:pPr>
            <w:r>
              <w:rPr>
                <w:b/>
                <w:bCs/>
              </w:rPr>
              <w:t xml:space="preserve">$1.06B</w:t>
            </w:r>
          </w:p>
        </w:tc>
        <w:tc>
          <w:tcPr/>
          <w:p>
            <w:pPr>
              <w:pStyle w:val="Compact"/>
            </w:pPr>
            <w:r>
              <w:t xml:space="preserve">Focus on U.S. margin progression, OneOncology ramp, and International recovery</w:t>
            </w:r>
          </w:p>
        </w:tc>
      </w:tr>
      <w:tr>
        <w:tc>
          <w:tcPr/>
          <w:p>
            <w:pPr>
              <w:pStyle w:val="Compact"/>
            </w:pPr>
            <w:r>
              <w:t xml:space="preserve">Adjusted EPS</w:t>
            </w:r>
          </w:p>
        </w:tc>
        <w:tc>
          <w:tcPr/>
          <w:p>
            <w:pPr>
              <w:pStyle w:val="Compact"/>
              <w:jc w:val="right"/>
            </w:pPr>
            <w:r>
              <w:rPr>
                <w:b/>
                <w:bCs/>
              </w:rPr>
              <w:t xml:space="preserve">$4.00</w:t>
            </w:r>
          </w:p>
        </w:tc>
        <w:tc>
          <w:tcPr/>
          <w:p>
            <w:pPr>
              <w:pStyle w:val="Compact"/>
            </w:pPr>
            <w:r>
              <w:t xml:space="preserve">Management indicated</w:t>
            </w:r>
            <w:r>
              <w:t xml:space="preserve"> </w:t>
            </w:r>
            <w:r>
              <w:rPr>
                <w:b/>
                <w:bCs/>
              </w:rPr>
              <w:t xml:space="preserve">high-single-digit growth</w:t>
            </w:r>
          </w:p>
        </w:tc>
      </w:tr>
      <w:tr>
        <w:tc>
          <w:tcPr/>
          <w:p>
            <w:pPr>
              <w:pStyle w:val="Compact"/>
            </w:pPr>
            <w:r>
              <w:t xml:space="preserve">Net interest expense</w:t>
            </w:r>
          </w:p>
        </w:tc>
        <w:tc>
          <w:tcPr/>
          <w:p>
            <w:pPr>
              <w:pStyle w:val="Compact"/>
              <w:jc w:val="right"/>
            </w:pPr>
            <w:r>
              <w:rPr>
                <w:b/>
                <w:bCs/>
              </w:rPr>
              <w:t xml:space="preserve">$81.8M</w:t>
            </w:r>
          </w:p>
        </w:tc>
        <w:tc>
          <w:tcPr/>
          <w:p>
            <w:pPr>
              <w:pStyle w:val="Compact"/>
            </w:pPr>
            <w:r>
              <w:t xml:space="preserve">Expected at roughly</w:t>
            </w:r>
            <w:r>
              <w:t xml:space="preserve"> </w:t>
            </w:r>
            <w:r>
              <w:rPr>
                <w:b/>
                <w:bCs/>
              </w:rPr>
              <w:t xml:space="preserve">$140M</w:t>
            </w:r>
            <w:r>
              <w:t xml:space="preserve">, reflecting OneOncology financing</w:t>
            </w:r>
          </w:p>
        </w:tc>
      </w:tr>
      <w:tr>
        <w:tc>
          <w:tcPr/>
          <w:p>
            <w:pPr>
              <w:pStyle w:val="Compact"/>
            </w:pPr>
            <w:r>
              <w:t xml:space="preserve">Adjusted tax rate</w:t>
            </w:r>
          </w:p>
        </w:tc>
        <w:tc>
          <w:tcPr/>
          <w:p>
            <w:pPr>
              <w:pStyle w:val="Compact"/>
              <w:jc w:val="right"/>
            </w:pPr>
            <w:r>
              <w:rPr>
                <w:b/>
                <w:bCs/>
              </w:rPr>
              <w:t xml:space="preserve">20.7%</w:t>
            </w:r>
          </w:p>
        </w:tc>
        <w:tc>
          <w:tcPr/>
          <w:p>
            <w:pPr>
              <w:pStyle w:val="Compact"/>
            </w:pPr>
            <w:r>
              <w:t xml:space="preserve">FY26 target is approximately</w:t>
            </w:r>
            <w:r>
              <w:t xml:space="preserve"> </w:t>
            </w:r>
            <w:r>
              <w:rPr>
                <w:b/>
                <w:bCs/>
              </w:rPr>
              <w:t xml:space="preserve">20%</w:t>
            </w:r>
          </w:p>
        </w:tc>
      </w:tr>
    </w:tbl>
    <w:p>
      <w:pPr>
        <w:pStyle w:val="BodyText"/>
      </w:pPr>
      <w:r>
        <w:t xml:space="preserve">The comparison is more demanding on interest expense and less demanding in International, where the company faces easier comparisons following last year’s logistics weakness.</w:t>
      </w:r>
    </w:p>
    <w:bookmarkEnd w:id="15"/>
    <w:bookmarkStart w:id="16" w:name="catalysts"/>
    <w:p>
      <w:pPr>
        <w:pStyle w:val="Heading2"/>
      </w:pPr>
      <w:r>
        <w:t xml:space="preserve">Catalysts</w:t>
      </w:r>
    </w:p>
    <w:p>
      <w:pPr>
        <w:pStyle w:val="Compact"/>
        <w:numPr>
          <w:ilvl w:val="0"/>
          <w:numId w:val="1004"/>
        </w:numPr>
      </w:pPr>
      <w:r>
        <w:rPr>
          <w:b/>
          <w:bCs/>
        </w:rPr>
        <w:t xml:space="preserve">High-single-digit or better adjusted EPS growth</w:t>
      </w:r>
      <w:r>
        <w:t xml:space="preserve">, accompanied by a full-year EPS guidance reaffirmation or increase.</w:t>
      </w:r>
    </w:p>
    <w:p>
      <w:pPr>
        <w:pStyle w:val="Compact"/>
        <w:numPr>
          <w:ilvl w:val="0"/>
          <w:numId w:val="1004"/>
        </w:numPr>
      </w:pPr>
      <w:r>
        <w:t xml:space="preserve">Evidence that lower revenue growth is being offset by better mix and resilient operating-profit dollars.</w:t>
      </w:r>
    </w:p>
    <w:p>
      <w:pPr>
        <w:pStyle w:val="Compact"/>
        <w:numPr>
          <w:ilvl w:val="0"/>
          <w:numId w:val="1004"/>
        </w:numPr>
      </w:pPr>
      <w:r>
        <w:t xml:space="preserve">OneOncology contribution arriving as planned, supporting the expected Q4 growth ramp.</w:t>
      </w:r>
    </w:p>
    <w:p>
      <w:pPr>
        <w:pStyle w:val="Compact"/>
        <w:numPr>
          <w:ilvl w:val="0"/>
          <w:numId w:val="1004"/>
        </w:numPr>
      </w:pPr>
      <w:r>
        <w:t xml:space="preserve">Further positive momentum in global specialty logistics.</w:t>
      </w:r>
    </w:p>
    <w:p>
      <w:pPr>
        <w:pStyle w:val="Compact"/>
        <w:numPr>
          <w:ilvl w:val="0"/>
          <w:numId w:val="1004"/>
        </w:numPr>
      </w:pPr>
      <w:r>
        <w:t xml:space="preserve">Confirmation of cash conversion, debt reduction, and execution toward the planned</w:t>
      </w:r>
      <w:r>
        <w:t xml:space="preserve"> </w:t>
      </w:r>
      <w:r>
        <w:rPr>
          <w:b/>
          <w:bCs/>
        </w:rPr>
        <w:t xml:space="preserve">$1 billion</w:t>
      </w:r>
      <w:r>
        <w:t xml:space="preserve"> </w:t>
      </w:r>
      <w:r>
        <w:t xml:space="preserve">of share repurchases by the end of calendar 2026.</w:t>
      </w:r>
    </w:p>
    <w:p>
      <w:pPr>
        <w:pStyle w:val="Compact"/>
        <w:numPr>
          <w:ilvl w:val="0"/>
          <w:numId w:val="1004"/>
        </w:numPr>
      </w:pPr>
      <w:r>
        <w:t xml:space="preserve">A confident first earnings-call performance from CFO</w:t>
      </w:r>
      <w:r>
        <w:t xml:space="preserve"> </w:t>
      </w:r>
      <w:r>
        <w:rPr>
          <w:b/>
          <w:bCs/>
        </w:rPr>
        <w:t xml:space="preserve">Eva Boratto</w:t>
      </w:r>
      <w:r>
        <w:t xml:space="preserve">, who succeeds former CFO James Cleary.</w:t>
      </w:r>
    </w:p>
    <w:bookmarkEnd w:id="16"/>
    <w:bookmarkStart w:id="17" w:name="risks"/>
    <w:p>
      <w:pPr>
        <w:pStyle w:val="Heading2"/>
      </w:pPr>
      <w:r>
        <w:t xml:space="preserve">Risks</w:t>
      </w:r>
    </w:p>
    <w:p>
      <w:pPr>
        <w:pStyle w:val="Compact"/>
        <w:numPr>
          <w:ilvl w:val="0"/>
          <w:numId w:val="1005"/>
        </w:numPr>
      </w:pPr>
      <w:r>
        <w:t xml:space="preserve">A further deceleration in GLP-1 revenue or new pressure from branded-to-biosimilar conversions.</w:t>
      </w:r>
    </w:p>
    <w:p>
      <w:pPr>
        <w:pStyle w:val="Compact"/>
        <w:numPr>
          <w:ilvl w:val="0"/>
          <w:numId w:val="1005"/>
        </w:numPr>
      </w:pPr>
      <w:r>
        <w:t xml:space="preserve">Evidence that pricing actions or channel changes are beginning to affect gross-profit dollars—not just reported revenue.</w:t>
      </w:r>
    </w:p>
    <w:p>
      <w:pPr>
        <w:pStyle w:val="Compact"/>
        <w:numPr>
          <w:ilvl w:val="0"/>
          <w:numId w:val="1005"/>
        </w:numPr>
      </w:pPr>
      <w:r>
        <w:t xml:space="preserve">A weaker-than-expected OneOncology ramp, integration costs, or softer physician-practice volumes.</w:t>
      </w:r>
    </w:p>
    <w:p>
      <w:pPr>
        <w:pStyle w:val="Compact"/>
        <w:numPr>
          <w:ilvl w:val="0"/>
          <w:numId w:val="1005"/>
        </w:numPr>
      </w:pPr>
      <w:r>
        <w:t xml:space="preserve">International logistics recovery proving temporary.</w:t>
      </w:r>
    </w:p>
    <w:p>
      <w:pPr>
        <w:pStyle w:val="Compact"/>
        <w:numPr>
          <w:ilvl w:val="0"/>
          <w:numId w:val="1005"/>
        </w:numPr>
      </w:pPr>
      <w:r>
        <w:t xml:space="preserve">Free-cash-flow timing or working-capital pressure limiting debt reduction and buybacks.</w:t>
      </w:r>
    </w:p>
    <w:p>
      <w:pPr>
        <w:pStyle w:val="Compact"/>
        <w:numPr>
          <w:ilvl w:val="0"/>
          <w:numId w:val="1005"/>
        </w:numPr>
      </w:pPr>
      <w:r>
        <w:t xml:space="preserve">A guidance framework that increasingly depends on a pronounced fiscal-Q4 acceleration.</w:t>
      </w:r>
    </w:p>
    <w:bookmarkEnd w:id="17"/>
    <w:bookmarkStart w:id="18" w:name="stock-setup"/>
    <w:p>
      <w:pPr>
        <w:pStyle w:val="Heading2"/>
      </w:pPr>
      <w:r>
        <w:t xml:space="preserve">Stock setup</w:t>
      </w:r>
    </w:p>
    <w:p>
      <w:pPr>
        <w:pStyle w:val="FirstParagraph"/>
      </w:pPr>
      <w:r>
        <w:t xml:space="preserve">COR closed at</w:t>
      </w:r>
      <w:r>
        <w:t xml:space="preserve"> </w:t>
      </w:r>
      <w:r>
        <w:rPr>
          <w:b/>
          <w:bCs/>
        </w:rPr>
        <w:t xml:space="preserve">$306.32 on August 4</w:t>
      </w:r>
      <w:r>
        <w:t xml:space="preserve">. The stock fell roughly</w:t>
      </w:r>
      <w:r>
        <w:t xml:space="preserve"> </w:t>
      </w:r>
      <w:r>
        <w:rPr>
          <w:b/>
          <w:bCs/>
        </w:rPr>
        <w:t xml:space="preserve">17%</w:t>
      </w:r>
      <w:r>
        <w:t xml:space="preserve"> </w:t>
      </w:r>
      <w:r>
        <w:t xml:space="preserve">following the May 6 Q2 report, when the company reduced revenue guidance despite lifting EPS guidance, but subsequently recovered more than</w:t>
      </w:r>
      <w:r>
        <w:t xml:space="preserve"> </w:t>
      </w:r>
      <w:r>
        <w:rPr>
          <w:b/>
          <w:bCs/>
        </w:rPr>
        <w:t xml:space="preserve">21%</w:t>
      </w:r>
      <w:r>
        <w:t xml:space="preserve"> </w:t>
      </w:r>
      <w:r>
        <w:t xml:space="preserve">from its May 6 close. It remains modestly below its late-July high.</w:t>
      </w:r>
    </w:p>
    <w:p>
      <w:pPr>
        <w:pStyle w:val="BodyText"/>
      </w:pPr>
      <w:r>
        <w:t xml:space="preserve">That price action suggests investors have already focused on the distinction between revenue growth and earnings quality. Accordingly, a simple EPS beat may not be enough: the stock reaction is likely to hinge on whether management can reinforce the message that lower-margin revenue pressure is manageable while operating income, cash flow, and the MSO-led specialty strategy remain intact.</w:t>
      </w:r>
    </w:p>
    <w:bookmarkEnd w:id="18"/>
    <w:bookmarkStart w:id="19" w:name="bottom-line"/>
    <w:p>
      <w:pPr>
        <w:pStyle w:val="Heading2"/>
      </w:pPr>
      <w:r>
        <w:t xml:space="preserve">Bottom line</w:t>
      </w:r>
    </w:p>
    <w:p>
      <w:pPr>
        <w:pStyle w:val="FirstParagraph"/>
      </w:pPr>
      <w:r>
        <w:t xml:space="preserve">Cencora’s fiscal 3Q26 report is principally an</w:t>
      </w:r>
      <w:r>
        <w:t xml:space="preserve"> </w:t>
      </w:r>
      <w:r>
        <w:rPr>
          <w:b/>
          <w:bCs/>
        </w:rPr>
        <w:t xml:space="preserve">execution and earnings-quality</w:t>
      </w:r>
      <w:r>
        <w:t xml:space="preserve"> </w:t>
      </w:r>
      <w:r>
        <w:t xml:space="preserve">test. The most constructive outcome would be high-single-digit EPS growth, stable U.S. profit performance despite muted revenue, continuing International/logistics recovery, and clear reaffirmation that OneOncology accretion plus easier comparisons support the expected Q4 step-up.</w:t>
      </w:r>
    </w:p>
    <w:p>
      <w:pPr>
        <w:pStyle w:val="BodyText"/>
      </w:pPr>
      <w:r>
        <w:t xml:space="preserve">Conversely, another reduction to revenue expectations may be tolerated if operating-income and EPS guidance remain protected. What would matter more negatively is any indication that GLP-1, price, biosimilar, or customer-channel dynamics are eroding</w:t>
      </w:r>
      <w:r>
        <w:t xml:space="preserve"> </w:t>
      </w:r>
      <w:r>
        <w:rPr>
          <w:b/>
          <w:bCs/>
        </w:rPr>
        <w:t xml:space="preserve">dollar profit</w:t>
      </w:r>
      <w:r>
        <w:t xml:space="preserve">, challenging the company’s 12%–14% FY26 adjusted operating-income growth target.</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2026-08-05T00:24:35Z</dcterms:created>
  <dcterms:modified xsi:type="dcterms:W3CDTF">2026-08-05T00:24:35Z</dcterms:modified>
</cp:coreProperties>
</file>

<file path=docProps/custom.xml><?xml version="1.0" encoding="utf-8"?>
<Properties xmlns="http://schemas.openxmlformats.org/officeDocument/2006/custom-properties" xmlns:vt="http://schemas.openxmlformats.org/officeDocument/2006/docPropsVTypes"/>
</file>