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pay-earnings-predictions--2026-08-05"/>
    <w:p>
      <w:pPr>
        <w:pStyle w:val="Heading1"/>
      </w:pPr>
      <w:r>
        <w:t xml:space="preserve">CPAY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CPAY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(cash)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6.68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6.58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CPAY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1.308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1.297B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CPAY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~11% vs. cons ~10%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CPAY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guide (raise)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26.60</m:t>
              </m:r>
              <m:r>
                <m:rPr>
                  <m:sty m:val="p"/>
                </m:rPr>
                <m:t>−</m:t>
              </m:r>
            </m:oMath>
            <w:r>
              <w:t xml:space="preserve">27.40 (mid ~</w:t>
            </w:r>
            <m:oMath>
              <m:r>
                <m:t>27.00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26.85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CPAY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guide (raise)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5.30</m:t>
              </m:r>
              <m:r>
                <m:rPr>
                  <m:sty m:val="p"/>
                </m:rPr>
                <m:t>−</m:t>
              </m:r>
            </m:oMath>
            <w:r>
              <w:t xml:space="preserve">5.40B (mid ~</w:t>
            </w:r>
            <m:oMath>
              <m:r>
                <m:t>5.35</m:t>
              </m:r>
              <m:r>
                <m:t>B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5.31B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CPAY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adjusted EPS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6.80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6.78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CPAY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organic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~10% vs. cons ~10%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CPAY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Corporate Payments organic growth (Alpha migration/cross-border)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pred ~16% vs. cons ~14% (Q2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CPAY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CPAY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Base case is another modest beat-and-raise, driving an initial pop, but the stock has already run ~30% off March lows into record-high territory with insider PSU hurdles set well above spot, so much of the good news is priced. Out-period math is unfavorable: Q2-Q4 lap 11%+ comps, so guidance implies organic decel toward ~10% for H2, and the FY EPS raise is likely only a token ($0.20-0.40) flow-through of the Q2 beat rather than a fundamental step-up. That caps upward revisions and invites partial giveback of the day-1 move as the durability/decel narrative reasserts.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2026-08-05T01:18:16Z</dcterms:created>
  <dcterms:modified xsi:type="dcterms:W3CDTF">2026-08-05T01:18:16Z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