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CPAY (Corpay) before writing the preview. Let me start by gathering recent filings, earnings history, and news.Let me read the most recent earnings materials — the Q1 2026 release and call — to understand guidance and trends heading into Q2.Let me pull the year-ago Q2 2025 results for comparison, recent stock price action, and the recent 8-K on executive PSUs.Let me grab recent news to capture any analyst actions, the FTC matter, or the cross-border/M&amp;A developments heading into the print.# Corpay (CPAY) — Q2 2026 Earnings Preview</w:t>
      </w:r>
      <w:r>
        <w:t xml:space="preserve"> </w:t>
      </w:r>
      <w:r>
        <w:rPr>
          <w:i/>
          <w:iCs/>
        </w:rPr>
        <w:t xml:space="preserve">Report due after market close Tuesday, August 5, 2026 · Conference call 5:30pm ET</w:t>
      </w:r>
    </w:p>
    <w:bookmarkStart w:id="9" w:name="the-setup-in-one-line"/>
    <w:p>
      <w:pPr>
        <w:pStyle w:val="Heading2"/>
      </w:pPr>
      <w:r>
        <w:t xml:space="preserve">The setup in one line</w:t>
      </w:r>
    </w:p>
    <w:p>
      <w:pPr>
        <w:pStyle w:val="FirstParagraph"/>
      </w:pPr>
      <w:r>
        <w:t xml:space="preserve">Corpay heads into Q2 as a business firing on nearly all cylinders — four straight quarters of 11% organic growth, a raised full-year guide, and a stock that has run ~30% off its March lows to all-time-high territory. That combination means expectations are high and the bar to keep the stock working is elevated.</w:t>
      </w:r>
    </w:p>
    <w:p>
      <w:r>
        <w:pict>
          <v:rect style="width:0;height:1.5pt" o:hralign="center" o:hrstd="t" o:hr="t"/>
        </w:pict>
      </w:r>
    </w:p>
    <w:bookmarkEnd w:id="9"/>
    <w:bookmarkStart w:id="10" w:name="what-management-guided-for-q2"/>
    <w:p>
      <w:pPr>
        <w:pStyle w:val="Heading2"/>
      </w:pPr>
      <w:r>
        <w:t xml:space="preserve">What management guided for Q2</w:t>
      </w:r>
    </w:p>
    <w:p>
      <w:pPr>
        <w:pStyle w:val="FirstParagraph"/>
      </w:pPr>
      <w:r>
        <w:t xml:space="preserve">On the May 7 Q1 call, CFO Peter Walker laid out a specific Q2 frame: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Guide (midpoint)</w:t>
            </w:r>
          </w:p>
        </w:tc>
        <w:tc>
          <w:tcPr/>
          <w:p>
            <w:pPr>
              <w:pStyle w:val="Compac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</w:pPr>
            <w:r>
              <w:t xml:space="preserve">Implied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~$1.295B</w:t>
            </w:r>
          </w:p>
        </w:tc>
        <w:tc>
          <w:tcPr/>
          <w:p>
            <w:pPr>
              <w:pStyle w:val="Compact"/>
            </w:pPr>
            <w:r>
              <w:t xml:space="preserve">$1,102.0M</w:t>
            </w:r>
          </w:p>
        </w:tc>
        <w:tc>
          <w:tcPr/>
          <w:p>
            <w:pPr>
              <w:pStyle w:val="Compact"/>
            </w:pPr>
            <w:r>
              <w:t xml:space="preserve">+18%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9%–11%</w:t>
            </w:r>
          </w:p>
        </w:tc>
        <w:tc>
          <w:tcPr/>
          <w:p>
            <w:pPr>
              <w:pStyle w:val="Compact"/>
            </w:pPr>
            <w:r>
              <w:t xml:space="preserve">+11%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(cash) EPS</w:t>
            </w:r>
          </w:p>
        </w:tc>
        <w:tc>
          <w:tcPr/>
          <w:p>
            <w:pPr>
              <w:pStyle w:val="Compact"/>
            </w:pPr>
            <m:oMath>
              <m:r>
                <m:t>6.55</m:t>
              </m:r>
              <m:r>
                <m:rPr>
                  <m:sty m:val="p"/>
                </m:rPr>
                <m:t>(</m:t>
              </m:r>
            </m:oMath>
            <w:r>
              <w:t xml:space="preserve">6.45–$6.65)</w:t>
            </w:r>
          </w:p>
        </w:tc>
        <w:tc>
          <w:tcPr/>
          <w:p>
            <w:pPr>
              <w:pStyle w:val="Compact"/>
            </w:pPr>
            <w:r>
              <w:t xml:space="preserve">$5.13</w:t>
            </w:r>
          </w:p>
        </w:tc>
        <w:tc>
          <w:tcPr/>
          <w:p>
            <w:pPr>
              <w:pStyle w:val="Compact"/>
            </w:pPr>
            <w:r>
              <w:t xml:space="preserve">+28%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diluted EPS</w:t>
            </w:r>
          </w:p>
        </w:tc>
        <w:tc>
          <w:tcPr/>
          <w:p>
            <w:pPr>
              <w:pStyle w:val="Compact"/>
            </w:pPr>
            <m:oMath>
              <m:r>
                <m:t>4.59</m:t>
              </m:r>
              <m:r>
                <m:rPr>
                  <m:sty m:val="p"/>
                </m:rPr>
                <m:t>–</m:t>
              </m:r>
            </m:oMath>
            <w:r>
              <w:t xml:space="preserve">4.79</w:t>
            </w:r>
          </w:p>
        </w:tc>
        <w:tc>
          <w:tcPr/>
          <w:p>
            <w:pPr>
              <w:pStyle w:val="Compact"/>
            </w:pPr>
            <w:r>
              <w:t xml:space="preserve">$3.98</w:t>
            </w:r>
          </w:p>
        </w:tc>
        <w:tc>
          <w:tcPr/>
          <w:p>
            <w:pPr>
              <w:pStyle w:val="Compact"/>
            </w:pPr>
            <w:r>
              <w:t xml:space="preserve">~+18%</w:t>
            </w:r>
          </w:p>
        </w:tc>
      </w:tr>
    </w:tbl>
    <w:p>
      <w:pPr>
        <w:pStyle w:val="BodyText"/>
      </w:pPr>
      <w:r>
        <w:t xml:space="preserve">For context, the full-year 2026 guide (raised at Q1) is</w:t>
      </w:r>
      <w:r>
        <w:t xml:space="preserve"> </w:t>
      </w:r>
      <w:r>
        <w:rPr>
          <w:b/>
          <w:bCs/>
        </w:rPr>
        <w:t xml:space="preserve">revenue of</w:t>
      </w:r>
      <w:r>
        <w:rPr>
          <w:b/>
          <w:bCs/>
        </w:rPr>
        <w:t xml:space="preserve"> </w:t>
      </w:r>
      <m:oMath>
        <m:r>
          <m:t>5.25</m:t>
        </m:r>
        <m:r>
          <m:rPr>
            <m:sty m:val="p"/>
          </m:rPr>
          <m:t>–</m:t>
        </m:r>
      </m:oMath>
      <w:r>
        <w:rPr>
          <w:b/>
          <w:bCs/>
        </w:rPr>
        <w:t xml:space="preserve">5.33B (~+17%), adjusted EPS of</w:t>
      </w:r>
      <w:r>
        <w:rPr>
          <w:b/>
          <w:bCs/>
        </w:rPr>
        <w:t xml:space="preserve"> </w:t>
      </w:r>
      <m:oMath>
        <m:r>
          <m:t>26.30</m:t>
        </m:r>
        <m:r>
          <m:rPr>
            <m:sty m:val="p"/>
          </m:rPr>
          <m:t>–</m:t>
        </m:r>
      </m:oMath>
      <w:r>
        <w:rPr>
          <w:b/>
          <w:bCs/>
        </w:rPr>
        <w:t xml:space="preserve">27.10 (~</w:t>
      </w:r>
      <m:oMath>
        <m:r>
          <m:t>26.70</m:t>
        </m:r>
        <m:r>
          <m:t>m</m:t>
        </m:r>
        <m:r>
          <m:t>i</m:t>
        </m:r>
        <m:r>
          <m:t>d</m:t>
        </m:r>
        <m:r>
          <m:rPr>
            <m:sty m:val="p"/>
          </m:rPr>
          <m:t>,</m:t>
        </m:r>
        <m:r>
          <m:rPr>
            <m:sty m:val="p"/>
          </m:rPr>
          <m:t>+</m:t>
        </m:r>
        <m:r>
          <m:t>25</m:t>
        </m:r>
      </m:oMath>
      <w:r>
        <w:rPr>
          <w:b/>
          <w:bCs/>
        </w:rPr>
        <w:t xml:space="preserve">4.17/gallon</w:t>
      </w:r>
      <w:r>
        <w:t xml:space="preserve">, fuel spreads flat to 2025, ~67M diluted shares, interest expense of $415–445M, and a 25–27% tax rate.</w:t>
      </w:r>
    </w:p>
    <w:p>
      <w:r>
        <w:pict>
          <v:rect style="width:0;height:1.5pt" o:hralign="center" o:hrstd="t" o:hr="t"/>
        </w:pict>
      </w:r>
    </w:p>
    <w:bookmarkEnd w:id="10"/>
    <w:bookmarkStart w:id="11" w:name="what-actually-matters-in-this-print"/>
    <w:p>
      <w:pPr>
        <w:pStyle w:val="Heading2"/>
      </w:pPr>
      <w:r>
        <w:t xml:space="preserve">What actually matters in this print</w:t>
      </w:r>
    </w:p>
    <w:p>
      <w:pPr>
        <w:pStyle w:val="FirstParagraph"/>
      </w:pPr>
      <w:r>
        <w:rPr>
          <w:b/>
          <w:bCs/>
        </w:rPr>
        <w:t xml:space="preserve">1. Can the 11% organic streak survive tougher comps?</w:t>
      </w:r>
      <w:r>
        <w:t xml:space="preserve"> </w:t>
      </w:r>
      <w:r>
        <w:t xml:space="preserve">Q1 was a "blowout" — an ~$50M revenue and $0.35 EPS beat, roughly two-thirds of which management attributed to fundamentals rather than macro. But that quarter lapped an easy (~9%) comp. Walker flagged that Q2, Q3 and Q4 each lap</w:t>
      </w:r>
      <w:r>
        <w:t xml:space="preserve"> </w:t>
      </w:r>
      <w:r>
        <w:rPr>
          <w:b/>
          <w:bCs/>
        </w:rPr>
        <w:t xml:space="preserve">11%+ comps</w:t>
      </w:r>
      <w:r>
        <w:t xml:space="preserve">, which is precisely why the full-year lands at 10%. So a print at the high end of the 9–11% organic range would be a genuine positive against a much harder base; anything below 9% would raise durability questions.</w:t>
      </w:r>
    </w:p>
    <w:p>
      <w:pPr>
        <w:pStyle w:val="BodyText"/>
      </w:pPr>
      <w:r>
        <w:rPr>
          <w:b/>
          <w:bCs/>
        </w:rPr>
        <w:t xml:space="preserve">2. Corporate Payments (now ~40% of revenue) is the swing factor.</w:t>
      </w:r>
      <w:r>
        <w:t xml:space="preserve"> </w:t>
      </w:r>
      <w:r>
        <w:t xml:space="preserve">This is the segment the bulls care about most. In Q1 it grew organic</w:t>
      </w:r>
      <w:r>
        <w:t xml:space="preserve"> </w:t>
      </w:r>
      <w:r>
        <w:rPr>
          <w:b/>
          <w:bCs/>
        </w:rPr>
        <w:t xml:space="preserve">16% (18% ex-float)</w:t>
      </w:r>
      <w:r>
        <w:t xml:space="preserve">, with cross-border and payables both in the high teens. Two things to watch: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Float/interest-rate compression</w:t>
      </w:r>
      <w:r>
        <w:t xml:space="preserve"> </w:t>
      </w:r>
      <w:r>
        <w:t xml:space="preserve">— lower rates were a ~200bps drag in Q1. Watch whether that headwind is stabilizing or worsening.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Alpha integration</w:t>
      </w:r>
      <w:r>
        <w:t xml:space="preserve"> </w:t>
      </w:r>
      <w:r>
        <w:t xml:space="preserve">— ~15% of Alpha volume was migrated to Corpay's platform in Q1, with the "next wave" explicitly planned for Q2. Progress here is a concrete milestone.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AvidXchange (Avid)</w:t>
      </w:r>
      <w:r>
        <w:t xml:space="preserve"> </w:t>
      </w:r>
      <w:r>
        <w:t xml:space="preserve">— the minority stake grew EBITDA ~50% YoY in Q1; look for continued momentum from this equity-method investment.</w:t>
      </w:r>
    </w:p>
    <w:p>
      <w:pPr>
        <w:pStyle w:val="FirstParagraph"/>
      </w:pPr>
      <w:r>
        <w:rPr>
          <w:b/>
          <w:bCs/>
        </w:rPr>
        <w:t xml:space="preserve">3. Vehicle Payments and the U.S. fleet pivot.</w:t>
      </w:r>
      <w:r>
        <w:t xml:space="preserve"> </w:t>
      </w:r>
      <w:r>
        <w:t xml:space="preserve">Vehicle grew organic 10% in Q1 across the U.S., Europe and Brazil. The strategic story is the shift from the "micro" market (which produced credit and retention problems) toward the</w:t>
      </w:r>
      <w:r>
        <w:t xml:space="preserve"> </w:t>
      </w:r>
      <w:r>
        <w:rPr>
          <w:b/>
          <w:bCs/>
        </w:rPr>
        <w:t xml:space="preserve">middle market</w:t>
      </w:r>
      <w:r>
        <w:t xml:space="preserve">, where fleet becomes just one spend category inside a broader commercial-card relationship. U.S. fleet same-store sales turned slightly positive (+1%) in Q1 — watch whether that inches higher. Brazil ran into a minor Google keyword issue in Q1 but is guided to high-teens growth for the rest of the year.</w:t>
      </w:r>
    </w:p>
    <w:p>
      <w:pPr>
        <w:pStyle w:val="BodyText"/>
      </w:pPr>
      <w:r>
        <w:rPr>
          <w:b/>
          <w:bCs/>
        </w:rPr>
        <w:t xml:space="preserve">4. Lodging — the inflection.</w:t>
      </w:r>
      <w:r>
        <w:t xml:space="preserve"> </w:t>
      </w:r>
      <w:r>
        <w:t xml:space="preserve">Long the "problem child," Lodging landed flat in Q1 after quarters of decline, with same-store sales swinging to +6%. Management now expects Lodging to reach mid-to-high single-digit growth in H2. Any confirmation of that acceleration removes a persistent drag on the consolidated growth rate.</w:t>
      </w:r>
    </w:p>
    <w:p>
      <w:pPr>
        <w:pStyle w:val="BodyText"/>
      </w:pPr>
      <w:r>
        <w:rPr>
          <w:b/>
          <w:bCs/>
        </w:rPr>
        <w:t xml:space="preserve">5. Fuel and FX — the macro wildcard.</w:t>
      </w:r>
      <w:r>
        <w:t xml:space="preserve"> </w:t>
      </w:r>
      <w:r>
        <w:t xml:space="preserve">Guidance banks on ~</w:t>
      </w:r>
      <m:oMath>
        <m:r>
          <m:t>4.17</m:t>
        </m:r>
        <m:r>
          <m:rPr>
            <m:sty m:val="p"/>
          </m:rPr>
          <m:t>/</m:t>
        </m:r>
        <m:r>
          <m:t>g</m:t>
        </m:r>
        <m:r>
          <m:t>a</m:t>
        </m:r>
        <m:r>
          <m:t>l</m:t>
        </m:r>
        <m:r>
          <m:t>f</m:t>
        </m:r>
        <m:r>
          <m:t>u</m:t>
        </m:r>
        <m:r>
          <m:t>e</m:t>
        </m:r>
        <m:r>
          <m:t>l</m:t>
        </m:r>
        <m:r>
          <m:t>a</m:t>
        </m:r>
        <m:r>
          <m:t>n</m:t>
        </m:r>
        <m:r>
          <m:t>d</m:t>
        </m:r>
        <m:r>
          <m:t>c</m:t>
        </m:r>
        <m:r>
          <m:t>u</m:t>
        </m:r>
        <m:r>
          <m:t>r</m:t>
        </m:r>
        <m:r>
          <m:t>r</m:t>
        </m:r>
        <m:r>
          <m:t>e</m:t>
        </m:r>
        <m:r>
          <m:t>n</m:t>
        </m:r>
        <m:r>
          <m:t>t</m:t>
        </m:r>
        <m:r>
          <m:t>F</m:t>
        </m:r>
        <m:r>
          <m:t>X</m:t>
        </m:r>
        <m:r>
          <m:rPr>
            <m:sty m:val="p"/>
          </m:rPr>
          <m:t>.</m:t>
        </m:r>
        <m:r>
          <m:t>F</m:t>
        </m:r>
        <m:r>
          <m:t>u</m:t>
        </m:r>
        <m:r>
          <m:t>e</m:t>
        </m:r>
        <m:r>
          <m:t>l</m:t>
        </m:r>
        <m:r>
          <m:t>a</m:t>
        </m:r>
        <m:r>
          <m:t>n</m:t>
        </m:r>
        <m:r>
          <m:t>d</m:t>
        </m:r>
        <m:r>
          <m:t>f</m:t>
        </m:r>
        <m:r>
          <m:t>o</m:t>
        </m:r>
        <m:r>
          <m:t>r</m:t>
        </m:r>
        <m:r>
          <m:t>e</m:t>
        </m:r>
        <m:r>
          <m:t>i</m:t>
        </m:r>
        <m:r>
          <m:t>g</m:t>
        </m:r>
        <m:r>
          <m:t>n</m:t>
        </m:r>
        <m:r>
          <m:rPr>
            <m:sty m:val="p"/>
          </m:rPr>
          <m:t>−</m:t>
        </m:r>
        <m:r>
          <m:t>e</m:t>
        </m:r>
        <m:r>
          <m:t>x</m:t>
        </m:r>
        <m:r>
          <m:t>c</m:t>
        </m:r>
        <m:r>
          <m:t>h</m:t>
        </m:r>
        <m:r>
          <m:t>a</m:t>
        </m:r>
        <m:r>
          <m:t>n</m:t>
        </m:r>
        <m:r>
          <m:t>g</m:t>
        </m:r>
        <m:r>
          <m:t>e</m:t>
        </m:r>
        <m:r>
          <m:t>s</m:t>
        </m:r>
        <m:r>
          <m:t>w</m:t>
        </m:r>
        <m:r>
          <m:t>i</m:t>
        </m:r>
        <m:r>
          <m:t>n</m:t>
        </m:r>
        <m:r>
          <m:t>g</m:t>
        </m:r>
        <m:r>
          <m:t>s</m:t>
        </m:r>
        <m:r>
          <m:t>c</m:t>
        </m:r>
        <m:r>
          <m:t>a</m:t>
        </m:r>
        <m:r>
          <m:t>n</m:t>
        </m:r>
        <m:r>
          <m:t>m</m:t>
        </m:r>
        <m:r>
          <m:t>o</m:t>
        </m:r>
        <m:r>
          <m:t>v</m:t>
        </m:r>
        <m:r>
          <m:t>e</m:t>
        </m:r>
        <m:r>
          <m:t>t</m:t>
        </m:r>
        <m:r>
          <m:t>h</m:t>
        </m:r>
        <m:r>
          <m:t>e</m:t>
        </m:r>
        <m:r>
          <m:t>r</m:t>
        </m:r>
        <m:r>
          <m:t>e</m:t>
        </m:r>
        <m:r>
          <m:t>p</m:t>
        </m:r>
        <m:r>
          <m:t>o</m:t>
        </m:r>
        <m:r>
          <m:t>r</m:t>
        </m:r>
        <m:r>
          <m:t>t</m:t>
        </m:r>
        <m:r>
          <m:t>e</m:t>
        </m:r>
        <m:r>
          <m:t>d</m:t>
        </m:r>
        <m:r>
          <m:t>n</m:t>
        </m:r>
        <m:r>
          <m:t>u</m:t>
        </m:r>
        <m:r>
          <m:t>m</m:t>
        </m:r>
        <m:r>
          <m:t>b</m:t>
        </m:r>
        <m:r>
          <m:t>e</m:t>
        </m:r>
        <m:r>
          <m:t>r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l</m:t>
        </m:r>
        <m:r>
          <m:t>y</m:t>
        </m:r>
        <m:r>
          <m:t>i</m:t>
        </m:r>
        <m:r>
          <m:t>n</m:t>
        </m:r>
        <m:r>
          <m:t>e</m:t>
        </m:r>
        <m:r>
          <m:t>i</m:t>
        </m:r>
        <m:r>
          <m:t>t</m:t>
        </m:r>
        <m:r>
          <m:t>h</m:t>
        </m:r>
        <m:r>
          <m:t>e</m:t>
        </m:r>
        <m:r>
          <m:t>r</m:t>
        </m:r>
        <m:r>
          <m:t>d</m:t>
        </m:r>
        <m:r>
          <m:t>i</m:t>
        </m:r>
        <m:r>
          <m:t>r</m:t>
        </m:r>
        <m:r>
          <m:t>e</m:t>
        </m:r>
        <m:r>
          <m:t>c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(</m:t>
        </m:r>
        <m:r>
          <m:t>F</m:t>
        </m:r>
        <m:r>
          <m:t>X</m:t>
        </m:r>
        <m:r>
          <m:t>a</m:t>
        </m:r>
        <m:r>
          <m:t>l</m:t>
        </m:r>
        <m:r>
          <m:t>o</m:t>
        </m:r>
        <m:r>
          <m:t>n</m:t>
        </m:r>
        <m:r>
          <m:t>e</m:t>
        </m:r>
        <m:r>
          <m:t>a</m:t>
        </m:r>
        <m:r>
          <m:t>d</m:t>
        </m:r>
        <m:r>
          <m:t>d</m:t>
        </m:r>
        <m:r>
          <m:t>e</m:t>
        </m:r>
        <m:r>
          <m:t>d</m:t>
        </m:r>
        <m:r>
          <m:t> </m:t>
        </m:r>
      </m:oMath>
      <w:r>
        <w:t xml:space="preserve">62M to Q1 revenue), so separate the macro contribution from the fundamental beat when the number prints.</w:t>
      </w:r>
    </w:p>
    <w:p>
      <w:pPr>
        <w:pStyle w:val="BodyText"/>
      </w:pPr>
      <w:r>
        <w:rPr>
          <w:b/>
          <w:bCs/>
        </w:rPr>
        <w:t xml:space="preserve">6. Will they raise the full-year guide again?</w:t>
      </w:r>
      <w:r>
        <w:t xml:space="preserve"> </w:t>
      </w:r>
      <w:r>
        <w:t xml:space="preserve">Corpay has a well-established beat-and-raise cadence (it raised at Q1 and again in Q2 2025). Given the strong H1 momentum and the Q1 over-performance, another modest FY raise is a reasonable base case — and arguably what a stock at these levels needs to justify further upside.</w:t>
      </w:r>
    </w:p>
    <w:p>
      <w:r>
        <w:pict>
          <v:rect style="width:0;height:1.5pt" o:hralign="center" o:hrstd="t" o:hr="t"/>
        </w:pict>
      </w:r>
    </w:p>
    <w:bookmarkEnd w:id="11"/>
    <w:bookmarkStart w:id="12" w:name="capital-allocation--balance-sheet"/>
    <w:p>
      <w:pPr>
        <w:pStyle w:val="Heading2"/>
      </w:pPr>
      <w:r>
        <w:t xml:space="preserve">Capital allocation &amp; balance sheet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Buybacks:</w:t>
      </w:r>
      <w:r>
        <w:t xml:space="preserve"> </w:t>
      </w:r>
      <w:r>
        <w:t xml:space="preserve">$786M / 2.4M shares repurchased in Q1 (partly pre-funded with PayByPhone divestiture proceeds); the Board added another</w:t>
      </w:r>
      <w:r>
        <w:t xml:space="preserve"> </w:t>
      </w:r>
      <m:oMath>
        <m:r>
          <m:t>1</m:t>
        </m:r>
        <m:r>
          <m:t>B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l</m:t>
        </m:r>
        <m:r>
          <m:t>e</m:t>
        </m:r>
        <m:r>
          <m:t>a</m:t>
        </m:r>
        <m:r>
          <m:t>v</m:t>
        </m:r>
        <m:r>
          <m:t>i</m:t>
        </m:r>
        <m:r>
          <m:t>n</m:t>
        </m:r>
        <m:r>
          <m:t>g</m:t>
        </m:r>
        <m:r>
          <m:t> </m:t>
        </m:r>
      </m:oMath>
      <w:r>
        <w:t xml:space="preserve">1.8B available. Watch pace and share-count trajectory (guide assumes ~67M diluted shares).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Leverage:</w:t>
      </w:r>
      <w:r>
        <w:t xml:space="preserve"> </w:t>
      </w:r>
      <w:r>
        <w:t xml:space="preserve">ended Q1 at 2.7x with ~$1.4B of revolver capacity.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Refinancing:</w:t>
      </w:r>
      <w:r>
        <w:t xml:space="preserve"> </w:t>
      </w:r>
      <w:r>
        <w:t xml:space="preserve">Corpay secured commitments to upsize its credit facility by</w:t>
      </w:r>
      <w:r>
        <w:t xml:space="preserve"> </w:t>
      </w:r>
      <m:oMath>
        <m:r>
          <m:t>1</m:t>
        </m:r>
        <m:r>
          <m:t>B</m:t>
        </m:r>
        <m:r>
          <m:rPr>
            <m:sty m:val="p"/>
          </m:rPr>
          <m:t>+</m:t>
        </m:r>
        <m:r>
          <m:rPr>
            <m:sty m:val="p"/>
          </m:rPr>
          <m:t>,</m:t>
        </m:r>
        <m:r>
          <m:t>e</m:t>
        </m:r>
        <m:r>
          <m:t>x</m:t>
        </m:r>
        <m:r>
          <m:t>t</m:t>
        </m:r>
        <m:r>
          <m:t>e</m:t>
        </m:r>
        <m:r>
          <m:t>n</m:t>
        </m:r>
        <m:r>
          <m:t>d</m:t>
        </m:r>
        <m:r>
          <m:t>m</m:t>
        </m:r>
        <m:r>
          <m:t>a</m:t>
        </m:r>
        <m:r>
          <m:t>t</m:t>
        </m:r>
        <m:r>
          <m:t>u</m:t>
        </m:r>
        <m:r>
          <m:t>r</m:t>
        </m:r>
        <m:r>
          <m:t>i</m:t>
        </m:r>
        <m:r>
          <m:t>t</m:t>
        </m:r>
        <m:r>
          <m:t>i</m:t>
        </m:r>
        <m:r>
          <m:t>e</m:t>
        </m:r>
        <m:r>
          <m:t>s</m:t>
        </m:r>
        <m:r>
          <m:t>f</m:t>
        </m:r>
        <m:r>
          <m:t>i</m:t>
        </m:r>
        <m:r>
          <m:t>v</m:t>
        </m:r>
        <m:r>
          <m:t>e</m:t>
        </m:r>
        <m:r>
          <m:t>y</m:t>
        </m:r>
        <m:r>
          <m:t>e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c</m:t>
        </m:r>
        <m:r>
          <m:t>u</m:t>
        </m:r>
        <m:r>
          <m:t>t</m:t>
        </m:r>
        <m:r>
          <m:t>t</m:t>
        </m:r>
        <m:r>
          <m:t>h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 </m:t>
        </m:r>
        <m:r>
          <m:t>10</m:t>
        </m:r>
        <m:r>
          <m:t>b</m:t>
        </m:r>
        <m:r>
          <m:t>p</m:t>
        </m:r>
        <m:r>
          <m:t>s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r</m:t>
        </m:r>
        <m:r>
          <m:t>e</m:t>
        </m:r>
        <m:r>
          <m:t>p</m:t>
        </m:r>
        <m:r>
          <m:t>a</m:t>
        </m:r>
        <m:r>
          <m:t>y</m:t>
        </m:r>
        <m:r>
          <m:t> </m:t>
        </m:r>
      </m:oMath>
      <w:r>
        <w:t xml:space="preserve">1B of Term Loan B —</w:t>
      </w:r>
      <w:r>
        <w:t xml:space="preserve"> </w:t>
      </w:r>
      <w:r>
        <w:rPr>
          <w:b/>
          <w:bCs/>
        </w:rPr>
        <w:t xml:space="preserve">not yet reflected in guidance</w:t>
      </w:r>
      <w:r>
        <w:t xml:space="preserve"> </w:t>
      </w:r>
      <w:r>
        <w:t xml:space="preserve">at Q1, so any interest-expense benefit could be an incremental tailwind.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Portfolio rotation / M&amp;A:</w:t>
      </w:r>
      <w:r>
        <w:t xml:space="preserve"> </w:t>
      </w:r>
      <w:r>
        <w:t xml:space="preserve">Management said it is in "late innings" on a "pretty meaningful" divestiture that could be signed in Q2, with additional non-core sales and new Corporate Payments acquisitions likely by year-end. Any announced deal alongside earnings is a real possibility.</w:t>
      </w:r>
    </w:p>
    <w:p>
      <w:r>
        <w:pict>
          <v:rect style="width:0;height:1.5pt" o:hralign="center" o:hrstd="t" o:hr="t"/>
        </w:pict>
      </w:r>
    </w:p>
    <w:bookmarkEnd w:id="12"/>
    <w:bookmarkStart w:id="13" w:name="signals--risks-to-keep-in-mind"/>
    <w:p>
      <w:pPr>
        <w:pStyle w:val="Heading2"/>
      </w:pPr>
      <w:r>
        <w:t xml:space="preserve">Signals &amp; risks to keep in mind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Management conviction signal:</w:t>
      </w:r>
      <w:r>
        <w:t xml:space="preserve"> </w:t>
      </w:r>
      <w:r>
        <w:t xml:space="preserve">On July 22, the comp committee granted CEO Ron Clarke 300,000 PSUs (and CFO Armando Netto 28,213) that vest only if the stock hits</w:t>
      </w:r>
      <w:r>
        <w:t xml:space="preserve"> </w:t>
      </w:r>
      <w:r>
        <w:rPr>
          <w:b/>
          <w:bCs/>
        </w:rPr>
        <w:t xml:space="preserve">$425 / $450 / $475</w:t>
      </w:r>
      <w:r>
        <w:t xml:space="preserve"> </w:t>
      </w:r>
      <w:r>
        <w:t xml:space="preserve">(five trading days each) by August 2028. With shares around $396, those hurdles sit ~7%/14%/20% above current levels — a clear statement of management's upside ambition, but also a reminder of how much optimism is already in the price.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Valuation/positioning:</w:t>
      </w:r>
      <w:r>
        <w:t xml:space="preserve"> </w:t>
      </w:r>
      <w:r>
        <w:t xml:space="preserve">Shares closed at **</w:t>
      </w:r>
      <m:oMath>
        <m:r>
          <m:t>396.56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4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f</m:t>
        </m:r>
        <m:r>
          <m:t>r</m:t>
        </m:r>
        <m:r>
          <m:t>o</m:t>
        </m:r>
        <m:r>
          <m:t>m</m:t>
        </m:r>
        <m:r>
          <m:t> </m:t>
        </m:r>
      </m:oMath>
      <w:r>
        <w:t xml:space="preserve">305 right after the Q1 print (the stock jumped ~13% the day after Q1). Near record highs, the setup rewards a clean beat-and-raise and punishes any organic-growth or guidance disappointment.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Legal overhang:</w:t>
      </w:r>
      <w:r>
        <w:t xml:space="preserve"> </w:t>
      </w:r>
      <w:r>
        <w:t xml:space="preserve">The FTC lawsuit tied to fleet-card fee disclosures remains an ongoing risk factor.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Midterm framing:</w:t>
      </w:r>
      <w:r>
        <w:t xml:space="preserve"> </w:t>
      </w:r>
      <w:r>
        <w:t xml:space="preserve">Management reiterated its ambition to grow organic ~10% (top-quartile), compound EPS 15%+, and **double cash EPS toward</w:t>
      </w:r>
      <w:r>
        <w:t xml:space="preserve"> </w:t>
      </w:r>
      <m:oMath>
        <m:r>
          <m:t>50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w</m:t>
        </m:r>
        <m:r>
          <m:t>h</m:t>
        </m:r>
        <m:r>
          <m:t>i</m:t>
        </m:r>
        <m:r>
          <m:t>l</m:t>
        </m:r>
        <m:r>
          <m:t>e</m:t>
        </m:r>
        <m:r>
          <m:t>p</m:t>
        </m:r>
        <m:r>
          <m:t>o</m:t>
        </m:r>
        <m:r>
          <m:t>t</m:t>
        </m:r>
        <m:r>
          <m:t>e</m:t>
        </m:r>
        <m:r>
          <m:t>n</m:t>
        </m:r>
        <m:r>
          <m:t>t</m:t>
        </m:r>
        <m:r>
          <m:t>i</m:t>
        </m:r>
        <m:r>
          <m:t>a</m:t>
        </m:r>
        <m:r>
          <m:t>l</m:t>
        </m:r>
        <m:r>
          <m:t>l</m:t>
        </m:r>
        <m:r>
          <m:t>y</m:t>
        </m:r>
        <m:r>
          <m:t>b</m:t>
        </m:r>
        <m:r>
          <m:t>u</m:t>
        </m:r>
        <m:r>
          <m:t>y</m:t>
        </m:r>
        <m:r>
          <m:t>i</m:t>
        </m:r>
        <m:r>
          <m:t>n</m:t>
        </m:r>
        <m:r>
          <m:t>g</m:t>
        </m:r>
        <m:r>
          <m:t>b</m:t>
        </m:r>
        <m:r>
          <m:t>a</m:t>
        </m:r>
        <m:r>
          <m:t>c</m:t>
        </m:r>
        <m:r>
          <m:t>k</m:t>
        </m:r>
        <m:r>
          <m:t>m</m:t>
        </m:r>
        <m:r>
          <m:t>o</m:t>
        </m:r>
        <m:r>
          <m:t>r</m:t>
        </m:r>
        <m:r>
          <m:t>e</m:t>
        </m:r>
        <m:r>
          <m:t>t</m:t>
        </m:r>
        <m:r>
          <m:t>h</m:t>
        </m:r>
        <m:r>
          <m:t>a</m:t>
        </m:r>
        <m:r>
          <m:t>n</m:t>
        </m:r>
        <m:r>
          <m:t>h</m:t>
        </m:r>
        <m:r>
          <m:t>a</m:t>
        </m:r>
        <m:r>
          <m:t>l</m:t>
        </m:r>
        <m:r>
          <m:t>f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c</m:t>
        </m:r>
        <m:r>
          <m:t>r</m:t>
        </m:r>
        <m:r>
          <m:t>o</m:t>
        </m:r>
        <m:r>
          <m:t>s</m:t>
        </m:r>
        <m:r>
          <m:t>s</m:t>
        </m:r>
        <m:r>
          <m:rPr>
            <m:sty m:val="p"/>
          </m:rPr>
          <m:t>−</m:t>
        </m:r>
        <m:r>
          <m:t>b</m:t>
        </m:r>
        <m:r>
          <m:t>o</m:t>
        </m:r>
        <m:r>
          <m:t>r</m:t>
        </m:r>
        <m:r>
          <m:t>d</m:t>
        </m:r>
        <m:r>
          <m:t>e</m:t>
        </m:r>
        <m:r>
          <m:t>r</m:t>
        </m:r>
        <m:r>
          <m:t>b</m:t>
        </m:r>
        <m:r>
          <m:t>u</m:t>
        </m:r>
        <m:r>
          <m:t>s</m:t>
        </m:r>
        <m:r>
          <m:t>i</m:t>
        </m:r>
        <m:r>
          <m:t>n</m:t>
        </m:r>
        <m:r>
          <m:t>e</m:t>
        </m:r>
        <m:r>
          <m:t>s</m:t>
        </m:r>
        <m:r>
          <m:t>s</m:t>
        </m:r>
        <m:r>
          <m:rPr>
            <m:sty m:val="p"/>
          </m:rPr>
          <m:t>—</m:t>
        </m:r>
        <m:r>
          <m:t>p</m:t>
        </m:r>
        <m:r>
          <m:t>i</m:t>
        </m:r>
        <m:r>
          <m:t>t</m:t>
        </m:r>
        <m:r>
          <m:t>c</m:t>
        </m:r>
        <m:r>
          <m:t>h</m:t>
        </m:r>
        <m:r>
          <m:t>e</m:t>
        </m:r>
        <m:r>
          <m:t>d</m:t>
        </m:r>
        <m:r>
          <m:t>a</m:t>
        </m:r>
        <m:r>
          <m:t>s</m:t>
        </m:r>
        <m:r>
          <m:t>a</m:t>
        </m:r>
        <m:r>
          <m:t> </m:t>
        </m:r>
      </m:oMath>
      <w:r>
        <w:t xml:space="preserve">160T TAM where Corpay has ~1% share, now adding blockchain rails via JPMorgan and BVNK partnerships — is the centerpiece of that long-term story.</w:t>
      </w:r>
    </w:p>
    <w:p>
      <w:r>
        <w:pict>
          <v:rect style="width:0;height:1.5pt" o:hralign="center" o:hrstd="t" o:hr="t"/>
        </w:pict>
      </w:r>
    </w:p>
    <w:bookmarkEnd w:id="13"/>
    <w:bookmarkStart w:id="14" w:name="bottom-line-for-investors"/>
    <w:p>
      <w:pPr>
        <w:pStyle w:val="Heading2"/>
      </w:pPr>
      <w:r>
        <w:t xml:space="preserve">Bottom line for investors</w:t>
      </w:r>
    </w:p>
    <w:p>
      <w:pPr>
        <w:pStyle w:val="FirstParagraph"/>
      </w:pPr>
      <w:r>
        <w:t xml:space="preserve">The fundamental momentum is arguably as strong as it's been in years: accelerating Corporate Payments, a stabilizing-to-improving Vehicle and Lodging book, high-teens cross-border growth, and a disciplined capital-return/rotation program. The key questions Tuesday are (1) whether organic growth holds ≥9–11% against much tougher comps, (2) whether Corporate Payments and the Alpha migration keep compounding, (3) how much of any beat is fundamental vs. fuel/FX, and (4) whether management raises the full-year guide again. With the stock near record highs and insider incentives set well above today's price, a simple in-line quarter may not be enough — the market is set up for a beat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raise.</w:t>
      </w:r>
    </w:p>
    <w:p>
      <w:pPr>
        <w:pStyle w:val="BodyText"/>
      </w:pPr>
      <w:r>
        <w:rPr>
          <w:i/>
          <w:iCs/>
        </w:rPr>
        <w:t xml:space="preserve">Note: figures above are drawn from Corpay's Q1 2026 and Q2 2025 earnings releases and call, the July 22 8-K, and recent price history. "Consensus" here refers to company guidance midpoints, not the sell-side estimate, which may differ.</w:t>
      </w:r>
    </w:p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2026-08-05T01:18:16Z</dcterms:created>
  <dcterms:modified xsi:type="dcterms:W3CDTF">2026-08-05T01:18:16Z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