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d9f3d0f06eb8d7044b22ab774691af635ba9b93"/>
    <w:p>
      <w:pPr>
        <w:pStyle w:val="Heading1"/>
      </w:pPr>
      <w:r>
        <w:t xml:space="preserve">Corpay, Inc. (NYSE: CPAY) — Q2 2026 Earnings Preview</w:t>
      </w:r>
    </w:p>
    <w:p>
      <w:pPr>
        <w:pStyle w:val="FirstParagraph"/>
      </w:pPr>
      <w:r>
        <w:rPr>
          <w:b/>
          <w:bCs/>
        </w:rPr>
        <w:t xml:space="preserve">Report Date:</w:t>
      </w:r>
      <w:r>
        <w:t xml:space="preserve"> </w:t>
      </w:r>
      <w:r>
        <w:t xml:space="preserve">August 5, 2026 (after market close) |</w:t>
      </w:r>
      <w:r>
        <w:t xml:space="preserve"> </w:t>
      </w:r>
      <w:r>
        <w:rPr>
          <w:b/>
          <w:bCs/>
        </w:rPr>
        <w:t xml:space="preserve">Event:</w:t>
      </w:r>
      <w:r>
        <w:t xml:space="preserve"> </w:t>
      </w:r>
      <w:r>
        <w:t xml:space="preserve">2026Q2 Earnings Call</w:t>
      </w:r>
    </w:p>
    <w:p>
      <w:r>
        <w:pict>
          <v:rect style="width:0;height:1.5pt" o:hralign="center" o:hrstd="t" o:hr="t"/>
        </w:pict>
      </w:r>
    </w:p>
    <w:bookmarkStart w:id="9" w:name="setup-into-the-print"/>
    <w:p>
      <w:pPr>
        <w:pStyle w:val="Heading2"/>
      </w:pPr>
      <w:r>
        <w:t xml:space="preserve">Setup Into the Print</w:t>
      </w:r>
    </w:p>
    <w:p>
      <w:pPr>
        <w:pStyle w:val="FirstParagraph"/>
      </w:pPr>
      <w:r>
        <w:t xml:space="preserve">Corpay shares have been on a strong run heading into tomorrow's report, closing at **</w:t>
      </w:r>
      <m:oMath>
        <m:r>
          <m:t>396.56</m:t>
        </m:r>
        <m:r>
          <m:rPr>
            <m:sty m:val="p"/>
          </m:rPr>
          <m:t>*</m:t>
        </m:r>
        <m:r>
          <m:rPr>
            <m:sty m:val="p"/>
          </m:rPr>
          <m:t>*</m:t>
        </m:r>
        <m:r>
          <m:t>o</m:t>
        </m:r>
        <m:r>
          <m:t>n</m:t>
        </m:r>
        <m:r>
          <m:t>A</m:t>
        </m:r>
        <m:r>
          <m:t>u</m:t>
        </m:r>
        <m:r>
          <m:t>g</m:t>
        </m:r>
        <m:r>
          <m:t>u</m:t>
        </m:r>
        <m:r>
          <m:t>s</m:t>
        </m:r>
        <m:r>
          <m:t>t</m:t>
        </m:r>
        <m:r>
          <m:t>4</m:t>
        </m:r>
        <m:r>
          <m:rPr>
            <m:sty m:val="p"/>
          </m:rPr>
          <m:t>,</m:t>
        </m:r>
        <m:r>
          <m:t>u</m:t>
        </m:r>
        <m:r>
          <m:t>p</m:t>
        </m:r>
        <m:r>
          <m:t>r</m:t>
        </m:r>
        <m:r>
          <m:t>o</m:t>
        </m:r>
        <m:r>
          <m:t>u</m:t>
        </m:r>
        <m:r>
          <m:t>g</m:t>
        </m:r>
        <m:r>
          <m:t>h</m:t>
        </m:r>
        <m:r>
          <m:t>l</m:t>
        </m:r>
        <m:r>
          <m:t>y</m:t>
        </m:r>
        <m:r>
          <m:rPr>
            <m:sty m:val="p"/>
          </m:rPr>
          <m:t>*</m:t>
        </m:r>
        <m:r>
          <m:rPr>
            <m:sty m:val="p"/>
          </m:rPr>
          <m:t>*</m:t>
        </m:r>
        <m:r>
          <m:t>32</m:t>
        </m:r>
      </m:oMath>
      <w:r>
        <w:t xml:space="preserve">306 to ~</w:t>
      </w:r>
      <m:oMath>
        <m:r>
          <m:t>344</m:t>
        </m:r>
        <m:r>
          <m:t>t</m:t>
        </m:r>
        <m:r>
          <m:t>h</m:t>
        </m:r>
        <m:r>
          <m:t>e</m:t>
        </m:r>
        <m:r>
          <m:t>d</m:t>
        </m:r>
        <m:r>
          <m:t>a</m:t>
        </m:r>
        <m:r>
          <m:t>y</m:t>
        </m:r>
        <m:r>
          <m:t>a</m:t>
        </m:r>
        <m:r>
          <m:t>f</m:t>
        </m:r>
        <m:r>
          <m:t>t</m:t>
        </m:r>
        <m:r>
          <m:t>e</m:t>
        </m:r>
        <m:r>
          <m:t>r</m:t>
        </m:r>
        <m:r>
          <m:t>t</m:t>
        </m:r>
        <m:r>
          <m:t>h</m:t>
        </m:r>
        <m:r>
          <m:t>a</m:t>
        </m:r>
        <m:r>
          <m:t>t</m:t>
        </m:r>
        <m:r>
          <m:t>r</m:t>
        </m:r>
        <m:r>
          <m:t>e</m:t>
        </m:r>
        <m:r>
          <m:t>l</m:t>
        </m:r>
        <m:r>
          <m:t>e</m:t>
        </m:r>
        <m:r>
          <m:t>a</m:t>
        </m:r>
        <m:r>
          <m:t>s</m:t>
        </m:r>
        <m:r>
          <m:t>e</m:t>
        </m:r>
        <m:r>
          <m:rPr>
            <m:sty m:val="p"/>
          </m:rPr>
          <m:t>)</m:t>
        </m:r>
        <m:r>
          <m:rPr>
            <m:sty m:val="p"/>
          </m:rPr>
          <m:t>.</m:t>
        </m:r>
        <m:r>
          <m:t>M</m:t>
        </m:r>
        <m:r>
          <m:t>o</m:t>
        </m:r>
        <m:r>
          <m:t>m</m:t>
        </m:r>
        <m:r>
          <m:t>e</m:t>
        </m:r>
        <m:r>
          <m:t>n</m:t>
        </m:r>
        <m:r>
          <m:t>t</m:t>
        </m:r>
        <m:r>
          <m:t>u</m:t>
        </m:r>
        <m:r>
          <m:t>m</m:t>
        </m:r>
        <m:r>
          <m:t>h</m:t>
        </m:r>
        <m:r>
          <m:t>a</m:t>
        </m:r>
        <m:r>
          <m:t>s</m:t>
        </m:r>
        <m:r>
          <m:t>b</m:t>
        </m:r>
        <m:r>
          <m:t>e</m:t>
        </m:r>
        <m:r>
          <m:t>e</m:t>
        </m:r>
        <m:r>
          <m:t>n</m:t>
        </m:r>
        <m:r>
          <m:t>b</m:t>
        </m:r>
        <m:r>
          <m:t>u</m:t>
        </m:r>
        <m:r>
          <m:t>i</m:t>
        </m:r>
        <m:r>
          <m:t>l</m:t>
        </m:r>
        <m:r>
          <m:t>d</m:t>
        </m:r>
        <m:r>
          <m:t>i</m:t>
        </m:r>
        <m:r>
          <m:t>n</m:t>
        </m:r>
        <m:r>
          <m:t>g</m:t>
        </m:r>
        <m:r>
          <m:t>s</m:t>
        </m:r>
        <m:r>
          <m:t>t</m:t>
        </m:r>
        <m:r>
          <m:t>e</m:t>
        </m:r>
        <m:r>
          <m:t>a</m:t>
        </m:r>
        <m:r>
          <m:t>d</m:t>
        </m:r>
        <m:r>
          <m:t>i</m:t>
        </m:r>
        <m:r>
          <m:t>l</m:t>
        </m:r>
        <m:r>
          <m:t>y</m:t>
        </m:r>
        <m:r>
          <m:t>t</m:t>
        </m:r>
        <m:r>
          <m:t>h</m:t>
        </m:r>
        <m:r>
          <m:t>r</m:t>
        </m:r>
        <m:r>
          <m:t>o</m:t>
        </m:r>
        <m:r>
          <m:t>u</m:t>
        </m:r>
        <m:r>
          <m:t>g</m:t>
        </m:r>
        <m:r>
          <m:t>h</m:t>
        </m:r>
        <m:r>
          <m:t>J</m:t>
        </m:r>
        <m:r>
          <m:t>u</m:t>
        </m:r>
        <m:r>
          <m:t>l</m:t>
        </m:r>
        <m:r>
          <m:t>y</m:t>
        </m:r>
        <m:r>
          <m:rPr>
            <m:sty m:val="p"/>
          </m:rPr>
          <m:t>,</m:t>
        </m:r>
        <m:r>
          <m:t>w</m:t>
        </m:r>
        <m:r>
          <m:t>i</m:t>
        </m:r>
        <m:r>
          <m:t>t</m:t>
        </m:r>
        <m:r>
          <m:t>h</m:t>
        </m:r>
        <m:r>
          <m:t>t</m:t>
        </m:r>
        <m:r>
          <m:t>h</m:t>
        </m:r>
        <m:r>
          <m:t>e</m:t>
        </m:r>
        <m:r>
          <m:t>s</m:t>
        </m:r>
        <m:r>
          <m:t>t</m:t>
        </m:r>
        <m:r>
          <m:t>o</m:t>
        </m:r>
        <m:r>
          <m:t>c</m:t>
        </m:r>
        <m:r>
          <m:t>k</m:t>
        </m:r>
        <m:r>
          <m:t>c</m:t>
        </m:r>
        <m:r>
          <m:t>l</m:t>
        </m:r>
        <m:r>
          <m:t>i</m:t>
        </m:r>
        <m:r>
          <m:t>m</m:t>
        </m:r>
        <m:r>
          <m:t>b</m:t>
        </m:r>
        <m:r>
          <m:t>i</m:t>
        </m:r>
        <m:r>
          <m:t>n</m:t>
        </m:r>
        <m:r>
          <m:t>g</m:t>
        </m:r>
        <m:r>
          <m:t>f</m:t>
        </m:r>
        <m:r>
          <m:t>r</m:t>
        </m:r>
        <m:r>
          <m:t>o</m:t>
        </m:r>
        <m:r>
          <m:t>m</m:t>
        </m:r>
        <m:r>
          <m:t>t</m:t>
        </m:r>
        <m:r>
          <m:t>h</m:t>
        </m:r>
        <m:r>
          <m:t>e</m:t>
        </m:r>
        <m:r>
          <m:t>m</m:t>
        </m:r>
        <m:r>
          <m:t>i</m:t>
        </m:r>
        <m:r>
          <m:t>d</m:t>
        </m:r>
        <m:r>
          <m:rPr>
            <m:sty m:val="p"/>
          </m:rPr>
          <m:t>−</m:t>
        </m:r>
      </m:oMath>
      <w:r>
        <w:t xml:space="preserve">350s to just under $400 in the two weeks before earnings. Analyst sentiment has been constructive into the quarter — Morgan Stanley raised its price target to $415 from</w:t>
      </w:r>
      <w:r>
        <w:t xml:space="preserve"> </w:t>
      </w:r>
      <m:oMath>
        <m:r>
          <m:t>400</m:t>
        </m:r>
        <m:r>
          <m:t>i</m:t>
        </m:r>
        <m:r>
          <m:t>n</m:t>
        </m:r>
        <m:r>
          <m:t>l</m:t>
        </m:r>
        <m:r>
          <m:t>a</m:t>
        </m:r>
        <m:r>
          <m:t>t</m:t>
        </m:r>
        <m:r>
          <m:t>e</m:t>
        </m:r>
        <m:r>
          <m:t>J</m:t>
        </m:r>
        <m:r>
          <m:t>u</m:t>
        </m:r>
        <m:r>
          <m:t>l</m:t>
        </m:r>
        <m:r>
          <m:t>y</m:t>
        </m:r>
        <m:r>
          <m:rPr>
            <m:sty m:val="p"/>
          </m:rPr>
          <m:t>,</m:t>
        </m:r>
        <m:r>
          <m:t>a</m:t>
        </m:r>
        <m:r>
          <m:t>n</m:t>
        </m:r>
        <m:r>
          <m:t>d</m:t>
        </m:r>
        <m:r>
          <m:t>t</m:t>
        </m:r>
        <m:r>
          <m:t>h</m:t>
        </m:r>
        <m:r>
          <m:t>e</m:t>
        </m:r>
        <m:r>
          <m:t>a</m:t>
        </m:r>
        <m:r>
          <m:t>v</m:t>
        </m:r>
        <m:r>
          <m:t>e</m:t>
        </m:r>
        <m:r>
          <m:t>r</m:t>
        </m:r>
        <m:r>
          <m:t>a</m:t>
        </m:r>
        <m:r>
          <m:t>g</m:t>
        </m:r>
        <m:r>
          <m:t>e</m:t>
        </m:r>
        <m:r>
          <m:t>S</m:t>
        </m:r>
        <m:r>
          <m:t>t</m:t>
        </m:r>
        <m:r>
          <m:t>r</m:t>
        </m:r>
        <m:r>
          <m:t>e</m:t>
        </m:r>
        <m:r>
          <m:t>e</m:t>
        </m:r>
        <m:r>
          <m:t>t</m:t>
        </m:r>
        <m:r>
          <m:t>p</m:t>
        </m:r>
        <m:r>
          <m:t>r</m:t>
        </m:r>
        <m:r>
          <m:t>i</m:t>
        </m:r>
        <m:r>
          <m:t>c</m:t>
        </m:r>
        <m:r>
          <m:t>e</m:t>
        </m:r>
        <m:r>
          <m:t>t</m:t>
        </m:r>
        <m:r>
          <m:t>a</m:t>
        </m:r>
        <m:r>
          <m:t>r</m:t>
        </m:r>
        <m:r>
          <m:t>g</m:t>
        </m:r>
        <m:r>
          <m:t>e</m:t>
        </m:r>
        <m:r>
          <m:t>t</m:t>
        </m:r>
        <m:r>
          <m:t>s</m:t>
        </m:r>
        <m:r>
          <m:t>i</m:t>
        </m:r>
        <m:r>
          <m:t>t</m:t>
        </m:r>
        <m:r>
          <m:t>s</m:t>
        </m:r>
        <m:r>
          <m:t>i</m:t>
        </m:r>
        <m:r>
          <m:t>n</m:t>
        </m:r>
        <m:r>
          <m:t>t</m:t>
        </m:r>
        <m:r>
          <m:t>h</m:t>
        </m:r>
        <m:r>
          <m:t>e</m:t>
        </m:r>
        <m:r>
          <m:t> </m:t>
        </m:r>
      </m:oMath>
      <w:r>
        <w:t xml:space="preserve">396 area, roughly in line with the current quote, suggesting the market has already priced in a solid quarter but leaves room for upside on a beat-and-raise.</w:t>
      </w:r>
    </w:p>
    <w:bookmarkEnd w:id="9"/>
    <w:bookmarkStart w:id="10" w:name="what-corpay-guided-to"/>
    <w:p>
      <w:pPr>
        <w:pStyle w:val="Heading2"/>
      </w:pPr>
      <w:r>
        <w:t xml:space="preserve">What Corpay Guided To</w:t>
      </w:r>
    </w:p>
    <w:p>
      <w:pPr>
        <w:pStyle w:val="FirstParagraph"/>
      </w:pPr>
      <w:r>
        <w:t xml:space="preserve">On the Q1 call, CFO Peter Walker set Q2 2026 expectations at</w:t>
      </w:r>
      <w:r>
        <w:t xml:space="preserve"> </w:t>
      </w:r>
      <w:r>
        <w:rPr>
          <w:b/>
          <w:bCs/>
        </w:rPr>
        <w:t xml:space="preserve">revenue of approximately $1.295 billion at the midpoint (+18% y/y)</w:t>
      </w:r>
      <w:r>
        <w:t xml:space="preserve"> </w:t>
      </w:r>
      <w:r>
        <w:t xml:space="preserve">and</w:t>
      </w:r>
      <w:r>
        <w:t xml:space="preserve"> </w:t>
      </w:r>
      <w:r>
        <w:rPr>
          <w:b/>
          <w:bCs/>
        </w:rPr>
        <w:t xml:space="preserve">adjusted EPS of</w:t>
      </w:r>
      <w:r>
        <w:rPr>
          <w:b/>
          <w:bCs/>
        </w:rPr>
        <w:t xml:space="preserve"> </w:t>
      </w:r>
      <m:oMath>
        <m:r>
          <m:t>6.55</m:t>
        </m:r>
        <m:r>
          <m:t>a</m:t>
        </m:r>
        <m:r>
          <m:t>t</m:t>
        </m:r>
        <m:r>
          <m:t>t</m:t>
        </m:r>
        <m:r>
          <m:t>h</m:t>
        </m:r>
        <m:r>
          <m:t>e</m:t>
        </m:r>
        <m:r>
          <m:t>m</m:t>
        </m:r>
        <m:r>
          <m:t>i</m:t>
        </m:r>
        <m:r>
          <m:t>d</m:t>
        </m:r>
        <m:r>
          <m:t>p</m:t>
        </m:r>
        <m:r>
          <m:t>o</m:t>
        </m:r>
        <m:r>
          <m:t>i</m:t>
        </m:r>
        <m:r>
          <m:t>n</m:t>
        </m:r>
        <m:r>
          <m:t>t</m:t>
        </m:r>
        <m:r>
          <m:rPr>
            <m:sty m:val="p"/>
          </m:rPr>
          <m:t>(</m:t>
        </m:r>
        <m:r>
          <m:rPr>
            <m:sty m:val="p"/>
          </m:rPr>
          <m:t>+</m:t>
        </m:r>
        <m:r>
          <m:t>28</m:t>
        </m:r>
      </m:oMath>
      <w:r>
        <w:rPr>
          <w:b/>
          <w:bCs/>
        </w:rPr>
        <w:t xml:space="preserve">5.25–$5.33 billion in revenue</w:t>
      </w:r>
      <w:r>
        <w:t xml:space="preserve"> </w:t>
      </w:r>
      <w:r>
        <w:t xml:space="preserve">and</w:t>
      </w:r>
      <w:r>
        <w:t xml:space="preserve"> </w:t>
      </w:r>
      <w:r>
        <w:rPr>
          <w:b/>
          <w:bCs/>
        </w:rPr>
        <w:t xml:space="preserve">adjusted EPS of</w:t>
      </w:r>
      <w:r>
        <w:rPr>
          <w:b/>
          <w:bCs/>
        </w:rPr>
        <w:t xml:space="preserve"> </w:t>
      </w:r>
      <m:oMath>
        <m:r>
          <m:t>26.30</m:t>
        </m:r>
        <m:r>
          <m:rPr>
            <m:sty m:val="p"/>
          </m:rPr>
          <m:t>–</m:t>
        </m:r>
      </m:oMath>
      <w:r>
        <w:rPr>
          <w:b/>
          <w:bCs/>
        </w:rPr>
        <w:t xml:space="preserve">27.10</w:t>
      </w:r>
      <w:r>
        <w:t xml:space="preserve">, implying full-year organic growth of ~10%. Street consensus heading into the print has been running close to (and in some estimates slightly above) that guidance — Zacks consensus has been cited around</w:t>
      </w:r>
      <w:r>
        <w:t xml:space="preserve"> </w:t>
      </w:r>
      <m:oMath>
        <m:r>
          <m:t>6.5</m:t>
        </m:r>
        <m:r>
          <m:rPr>
            <m:sty m:val="p"/>
          </m:rPr>
          <m:t>–</m:t>
        </m:r>
      </m:oMath>
      <w:r>
        <w:t xml:space="preserve">6.6 in EPS, and analysts have largely reaffirmed rather than revised estimates over the past month, a signal of confidence rather than caution.</w:t>
      </w:r>
    </w:p>
    <w:p>
      <w:pPr>
        <w:pStyle w:val="BodyText"/>
      </w:pPr>
      <w:r>
        <w:t xml:space="preserve">Management's track record supports a constructive bias: Corpay</w:t>
      </w:r>
      <w:r>
        <w:t xml:space="preserve"> </w:t>
      </w:r>
      <w:r>
        <w:rPr>
          <w:b/>
          <w:bCs/>
        </w:rPr>
        <w:t xml:space="preserve">beat consensus EPS in each of the trailing four quarters</w:t>
      </w:r>
      <w:r>
        <w:t xml:space="preserve">, including a Q1 2026 beat of $5.80 vs. $5.50 expected (a +5.45% surprise), on revenue of</w:t>
      </w:r>
      <w:r>
        <w:t xml:space="preserve"> </w:t>
      </w:r>
      <m:oMath>
        <m:r>
          <m:t>1.26</m:t>
        </m:r>
        <m:r>
          <m:t>b</m:t>
        </m:r>
        <m:r>
          <m:t>i</m:t>
        </m:r>
        <m:r>
          <m:t>l</m:t>
        </m:r>
        <m:r>
          <m:t>l</m:t>
        </m:r>
        <m:r>
          <m:t>i</m:t>
        </m:r>
        <m:r>
          <m:t>o</m:t>
        </m:r>
        <m:r>
          <m:t>n</m:t>
        </m:r>
        <m:r>
          <m:t>v</m:t>
        </m:r>
        <m:r>
          <m:t>s</m:t>
        </m:r>
        <m:r>
          <m:rPr>
            <m:sty m:val="p"/>
          </m:rPr>
          <m:t>.</m:t>
        </m:r>
        <m:r>
          <m:t> </m:t>
        </m:r>
      </m:oMath>
      <w:r>
        <w:t xml:space="preserve">1.21 billion expected.</w:t>
      </w:r>
    </w:p>
    <w:bookmarkEnd w:id="10"/>
    <w:bookmarkStart w:id="11" w:name="q1-2026-recap--the-bar-was-raised"/>
    <w:p>
      <w:pPr>
        <w:pStyle w:val="Heading2"/>
      </w:pPr>
      <w:r>
        <w:t xml:space="preserve">Q1 2026 Recap — The Bar Was Raised</w:t>
      </w:r>
    </w:p>
    <w:p>
      <w:pPr>
        <w:pStyle w:val="FirstParagraph"/>
      </w:pPr>
      <w:r>
        <w:t xml:space="preserve">Q1 was described by CEO Ron Clarke as "outstanding" — revenue grew 25% to $1.26 billion, organic revenue growth hit 11% (a fourth straight quarter at that level), and adjusted EPS grew 29% to $5.80. Notably, management said</w:t>
      </w:r>
      <w:r>
        <w:t xml:space="preserve"> </w:t>
      </w:r>
      <w:r>
        <w:rPr>
          <w:b/>
          <w:bCs/>
        </w:rPr>
        <w:t xml:space="preserve">about two-thirds of the $50 million revenue beat versus guidance came from fundamental over-performance, not macro tailwinds</w:t>
      </w:r>
      <w:r>
        <w:t xml:space="preserve">. Segment growth was led by Corporate Payments (+16% organic, +18% excluding float compression), while Vehicle Payments grew 10% organically and Lodging swung from a multi-quarter drag to flat, with same-store sales improving to +6% from -18% two years prior. New sales/bookings were up 24% and retention finished at 93.5%.</w:t>
      </w:r>
    </w:p>
    <w:bookmarkEnd w:id="11"/>
    <w:bookmarkStart w:id="12" w:name="key-things-to-watch-this-quarter"/>
    <w:p>
      <w:pPr>
        <w:pStyle w:val="Heading2"/>
      </w:pPr>
      <w:r>
        <w:t xml:space="preserve">Key Things to Watch This Quarter</w:t>
      </w:r>
    </w:p>
    <w:p>
      <w:pPr>
        <w:pStyle w:val="FirstParagraph"/>
      </w:pPr>
      <w:r>
        <w:rPr>
          <w:b/>
          <w:bCs/>
        </w:rPr>
        <w:t xml:space="preserve">1. Corporate Payments / cross-border momentum.</w:t>
      </w:r>
      <w:r>
        <w:t xml:space="preserve"> </w:t>
      </w:r>
      <w:r>
        <w:t xml:space="preserve">This is now the growth engine (40% of Q1 revenue) and the center of Corpay's strategic pivot. Watch for continued Alpha integration progress (15% of Alpha volume had migrated to Corpay's tech platform as of Q1, with "the next wave of migration" targeted for Q2), Avid Xchange equity-investment contribution (EBITDA +50% y/y in Q1), and traction on new initiatives like blockchain settlement rails (JPMorgan/BVNK partnerships) and the Mastercard referral relationship.</w:t>
      </w:r>
    </w:p>
    <w:p>
      <w:pPr>
        <w:pStyle w:val="BodyText"/>
      </w:pPr>
      <w:r>
        <w:rPr>
          <w:b/>
          <w:bCs/>
        </w:rPr>
        <w:t xml:space="preserve">2. Lodging turnaround durability.</w:t>
      </w:r>
      <w:r>
        <w:t xml:space="preserve"> </w:t>
      </w:r>
      <w:r>
        <w:t xml:space="preserve">Management flagged confidence that Lodging would move to "the right side of 5%," mid-to-high single-digit growth in the second half of 2026 after years of post-pandemic weakness — Q2 should show whether that inflection is holding.</w:t>
      </w:r>
    </w:p>
    <w:p>
      <w:pPr>
        <w:pStyle w:val="BodyText"/>
      </w:pPr>
      <w:r>
        <w:rPr>
          <w:b/>
          <w:bCs/>
        </w:rPr>
        <w:t xml:space="preserve">3. Vehicle Payments / fuel price sensitivity.</w:t>
      </w:r>
      <w:r>
        <w:t xml:space="preserve"> </w:t>
      </w:r>
      <w:r>
        <w:t xml:space="preserve">Higher expected fuel prices were a driver of the raised full-year guide (based on the April 2026 EIA outlook of $4.17/gallon average). Watch for how fuel price and spread assumptions actually played out in Q2 and whether U.S. fleet same-store sales (positive at +1% in Q1 vs. -2% a year ago) continued to improve.</w:t>
      </w:r>
    </w:p>
    <w:p>
      <w:pPr>
        <w:pStyle w:val="BodyText"/>
      </w:pPr>
      <w:r>
        <w:rPr>
          <w:b/>
          <w:bCs/>
        </w:rPr>
        <w:t xml:space="preserve">4. Portfolio rotation — M&amp;A and divestitures.</w:t>
      </w:r>
      <w:r>
        <w:t xml:space="preserve"> </w:t>
      </w:r>
      <w:r>
        <w:t xml:space="preserve">Corpay closed the $420 million sale of PayByPhone on March 31 (net proceeds largely redeployed into buybacks) and management signaled it was in "late innings" on an additional, more meaningful divestiture that could be signed in Q2, alongside active pursuit of new Corporate Payments acquisitions ("geographic" and "vertical" bolt-ons). Any announcement here would be a notable data point on strategy execution.</w:t>
      </w:r>
    </w:p>
    <w:p>
      <w:pPr>
        <w:pStyle w:val="BodyText"/>
      </w:pPr>
      <w:r>
        <w:rPr>
          <w:b/>
          <w:bCs/>
        </w:rPr>
        <w:t xml:space="preserve">5. Margins, leverage and capital return.</w:t>
      </w:r>
      <w:r>
        <w:t xml:space="preserve"> </w:t>
      </w:r>
      <w:r>
        <w:t xml:space="preserve">Q1 adjusted EBITDA margin was 54.6% (slightly down y/y on acquisition mix), leverage ended at 2.7x with $1.4 billion of revolver capacity, and the company repurchased $786 million of stock (2.4 million shares) in Q1 alone, leaving $1.8 billion in authorization after a fresh $1 billion board approval. Management also arranged a revolver/Term Loan A refinancing (upsizing capacity by over $1 billion, extending maturity five years, cutting rates ~10bps) expected to close and begin benefiting interest expense from Q2 onward — worth watching whether this shows up favorably in guidance.</w:t>
      </w:r>
    </w:p>
    <w:p>
      <w:pPr>
        <w:pStyle w:val="BodyText"/>
      </w:pPr>
      <w:r>
        <w:rPr>
          <w:b/>
          <w:bCs/>
        </w:rPr>
        <w:t xml:space="preserve">6. Midterm targets.</w:t>
      </w:r>
      <w:r>
        <w:t xml:space="preserve"> </w:t>
      </w:r>
      <w:r>
        <w:t xml:space="preserve">At the Q1 call, Clarke reaffirmed midterm objectives of ~10% organic revenue growth, ~15%+ earnings growth, and a goal to roughly double adjusted cash EPS to</w:t>
      </w:r>
      <w:r>
        <w:t xml:space="preserve"> </w:t>
      </w:r>
      <m:oMath>
        <m:r>
          <m:t>50</m:t>
        </m:r>
        <m:r>
          <m:rPr>
            <m:sty m:val="p"/>
          </m:rPr>
          <m:t>/</m:t>
        </m:r>
        <m:r>
          <m:t>s</m:t>
        </m:r>
        <m:r>
          <m:t>h</m:t>
        </m:r>
        <m:r>
          <m:t>a</m:t>
        </m:r>
        <m:r>
          <m:t>r</m:t>
        </m:r>
        <m:r>
          <m:t>e</m:t>
        </m:r>
        <m:r>
          <m:t>o</m:t>
        </m:r>
        <m:r>
          <m:t>v</m:t>
        </m:r>
        <m:r>
          <m:t>e</m:t>
        </m:r>
        <m:r>
          <m:t>r</m:t>
        </m:r>
        <m:r>
          <m:t>t</m:t>
        </m:r>
        <m:r>
          <m:t>h</m:t>
        </m:r>
        <m:r>
          <m:t>e</m:t>
        </m:r>
        <m:r>
          <m:t>f</m:t>
        </m:r>
        <m:r>
          <m:t>o</m:t>
        </m:r>
        <m:r>
          <m:t>r</m:t>
        </m:r>
        <m:r>
          <m:t>e</m:t>
        </m:r>
        <m:r>
          <m:t>c</m:t>
        </m:r>
        <m:r>
          <m:t>a</m:t>
        </m:r>
        <m:r>
          <m:t>s</m:t>
        </m:r>
        <m:r>
          <m:t>t</m:t>
        </m:r>
        <m:r>
          <m:t>p</m:t>
        </m:r>
        <m:r>
          <m:t>e</m:t>
        </m:r>
        <m:r>
          <m:t>r</m:t>
        </m:r>
        <m:r>
          <m:t>i</m:t>
        </m:r>
        <m:r>
          <m:t>o</m:t>
        </m:r>
        <m:r>
          <m:t>d</m:t>
        </m:r>
        <m:r>
          <m:rPr>
            <m:sty m:val="p"/>
          </m:rPr>
          <m:t>,</m:t>
        </m:r>
        <m:r>
          <m:t>f</m:t>
        </m:r>
        <m:r>
          <m:t>u</m:t>
        </m:r>
        <m:r>
          <m:t>n</m:t>
        </m:r>
        <m:r>
          <m:t>d</m:t>
        </m:r>
        <m:r>
          <m:t>e</m:t>
        </m:r>
        <m:r>
          <m:t>d</m:t>
        </m:r>
        <m:r>
          <m:t>p</m:t>
        </m:r>
        <m:r>
          <m:t>a</m:t>
        </m:r>
        <m:r>
          <m:t>r</m:t>
        </m:r>
        <m:r>
          <m:t>t</m:t>
        </m:r>
        <m:r>
          <m:t>l</m:t>
        </m:r>
        <m:r>
          <m:t>y</m:t>
        </m:r>
        <m:r>
          <m:t>b</m:t>
        </m:r>
        <m:r>
          <m:t>y</m:t>
        </m:r>
        <m:r>
          <m:t> </m:t>
        </m:r>
      </m:oMath>
      <w:r>
        <w:t xml:space="preserve">15 billion in expected free cash flow generation and continued heavy buybacks. Any commentary reinforcing or adjusting this framework will matter for the long-term thesis.</w:t>
      </w:r>
    </w:p>
    <w:bookmarkEnd w:id="12"/>
    <w:bookmarkStart w:id="13" w:name="risks-to-monitor"/>
    <w:p>
      <w:pPr>
        <w:pStyle w:val="Heading2"/>
      </w:pPr>
      <w:r>
        <w:t xml:space="preserve">Risks to Monitor</w:t>
      </w:r>
    </w:p>
    <w:p>
      <w:pPr>
        <w:pStyle w:val="Compact"/>
        <w:numPr>
          <w:ilvl w:val="0"/>
          <w:numId w:val="1001"/>
        </w:numPr>
      </w:pPr>
      <w:r>
        <w:rPr>
          <w:b/>
          <w:bCs/>
        </w:rPr>
        <w:t xml:space="preserve">FTC litigation overhang.</w:t>
      </w:r>
      <w:r>
        <w:t xml:space="preserve"> </w:t>
      </w:r>
      <w:r>
        <w:t xml:space="preserve">In January 2026, the 11th Circuit affirmed summary judgment against Corpay on all five counts in the FTC's long-running deceptive-fee case (originally filed in 2019 against then-FleetCor), upholding a permanent injunction restricting certain fee and consent practices; the court also largely upheld judgment against CEO Ron Clarke personally, though one count against him was vacated and remanded. This remains a headline/legal risk, even though it hasn't yet dented estimates or the stock.</w:t>
      </w:r>
    </w:p>
    <w:p>
      <w:pPr>
        <w:pStyle w:val="Compact"/>
        <w:numPr>
          <w:ilvl w:val="0"/>
          <w:numId w:val="1001"/>
        </w:numPr>
      </w:pPr>
      <w:r>
        <w:rPr>
          <w:b/>
          <w:bCs/>
        </w:rPr>
        <w:t xml:space="preserve">FX and macro sensitivity.</w:t>
      </w:r>
      <w:r>
        <w:t xml:space="preserve"> </w:t>
      </w:r>
      <w:r>
        <w:t xml:space="preserve">A meaningful share of Corpay's beat and guidance changes has come from FX and fuel-price macro assumptions rather than pure fundamentals; a reversal in fuel prices or currency moves (Brazil, UK exposure is significant — together ~33% of Q1 revenue) could pressure results even if underlying volumes hold up.</w:t>
      </w:r>
    </w:p>
    <w:p>
      <w:pPr>
        <w:pStyle w:val="Compact"/>
        <w:numPr>
          <w:ilvl w:val="0"/>
          <w:numId w:val="1001"/>
        </w:numPr>
      </w:pPr>
      <w:r>
        <w:rPr>
          <w:b/>
          <w:bCs/>
        </w:rPr>
        <w:t xml:space="preserve">Valuation/expectations reset.</w:t>
      </w:r>
      <w:r>
        <w:t xml:space="preserve"> </w:t>
      </w:r>
      <w:r>
        <w:t xml:space="preserve">With the stock near all-time highs and consensus already close to or above the high end of guidance, the bar for a "beat and raise" that satisfies the market has risen; a merely in-line quarter could disappoint after four consecutive quarters of double-digit organic growth and beats.</w:t>
      </w:r>
    </w:p>
    <w:bookmarkEnd w:id="13"/>
    <w:bookmarkStart w:id="14" w:name="bottom-line"/>
    <w:p>
      <w:pPr>
        <w:pStyle w:val="Heading2"/>
      </w:pPr>
      <w:r>
        <w:t xml:space="preserve">Bottom Line</w:t>
      </w:r>
    </w:p>
    <w:p>
      <w:pPr>
        <w:pStyle w:val="FirstParagraph"/>
      </w:pPr>
      <w:r>
        <w:t xml:space="preserve">Corpay heads into Q2 earnings with strong momentum, four straight quarters of ~11% organic growth, a raised full-year guide, aggressive buybacks, and a stock near record highs. The setup calls for the company to again clear its own guidance ($1.295B revenue / $6.55 EPS at the midpoint) and consensus estimates that cluster in a similar range, while investors will focus less on the headline beat and more on qualitative signals: further Corporate Payments/cross-border acceleration, confirmation of the Lodging recovery, any new divestiture/M&amp;A announcements, and commentary on the FTC litigation and capital-allocation plans (buybacks vs. M&amp;A) given the freshly upsized credit facility and $1.8 billion buyback authorization.</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2026-08-05T01:18:11Z</dcterms:created>
  <dcterms:modified xsi:type="dcterms:W3CDTF">2026-08-05T01:18:11Z</dcterms:modified>
</cp:coreProperties>
</file>

<file path=docProps/custom.xml><?xml version="1.0" encoding="utf-8"?>
<Properties xmlns="http://schemas.openxmlformats.org/officeDocument/2006/custom-properties" xmlns:vt="http://schemas.openxmlformats.org/officeDocument/2006/docPropsVTypes"/>
</file>