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pay-earnings-predictions--2026-08-05"/>
    <w:p>
      <w:pPr>
        <w:pStyle w:val="Heading1"/>
      </w:pPr>
      <w:r>
        <w:t xml:space="preserve">CPAY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CPAY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~$1.315B vs. cons $1.300B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CPAY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~$6.72 vs. cons $6.58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CPAY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organic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~10.5% vs. cons 10.0%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CPAY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~$5.34B vs. cons $5.31B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CPAY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~$27.20 vs. cons $26.90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CPAY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~$1.35B vs. cons $1.35B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CPAY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~$6.80 vs. cons $6.67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CPAY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revenue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~10.0% vs. cons 10.0%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CPAY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CPAY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+5.2% (FOLLOW-THROUGH)</w:t>
            </w:r>
          </w:p>
        </w:tc>
        <w:tc>
          <w:tcPr/>
          <w:p>
            <w:pPr>
              <w:pStyle w:val="Compact"/>
            </w:pPr>
            <w:r>
              <w:t xml:space="preserve">A FY2026 adjusted EPS guide of ~</w:t>
            </w:r>
            <m:oMath>
              <m:r>
                <m:t>27.20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26.90 implies second-half adjusted EPS of roughly $14.68 after predicted first-half EPS of $12.52, above the approximately $14.38 embedded in consensus; positive estimate revisions should outweigh the elevated pre-earnings valuation.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2026-08-05T01:16:06Z</dcterms:created>
  <dcterms:modified xsi:type="dcterms:W3CDTF">2026-08-05T01:16:06Z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