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cpay-q2-2026-earnings-preview"/>
    <w:p>
      <w:pPr>
        <w:pStyle w:val="Heading1"/>
      </w:pPr>
      <w:r>
        <w:t xml:space="preserve">CPAY Q2 2026 Earnings Preview</w:t>
      </w:r>
    </w:p>
    <w:p>
      <w:pPr>
        <w:pStyle w:val="BlockText"/>
      </w:pPr>
      <w:r>
        <w:rPr>
          <w:b/>
          <w:bCs/>
        </w:rPr>
        <w:t xml:space="preserve">Timing clarification:</w:t>
      </w:r>
      <w:r>
        <w:t xml:space="preserve"> </w:t>
      </w:r>
      <w:r>
        <w:t xml:space="preserve">Corpay reports</w:t>
      </w:r>
      <w:r>
        <w:t xml:space="preserve"> </w:t>
      </w:r>
      <w:r>
        <w:rPr>
          <w:b/>
          <w:bCs/>
        </w:rPr>
        <w:t xml:space="preserve">today, Wednesday, August 5, 2026</w:t>
      </w:r>
      <w:r>
        <w:t xml:space="preserve">, not tomorrow. Results are scheduled after the market close, followed by the earnings call at</w:t>
      </w:r>
      <w:r>
        <w:t xml:space="preserve"> </w:t>
      </w:r>
      <w:r>
        <w:rPr>
          <w:b/>
          <w:bCs/>
        </w:rPr>
        <w:t xml:space="preserve">5:30 p.m. ET</w:t>
      </w:r>
      <w:r>
        <w:t xml:space="preserve">. (</w:t>
      </w:r>
      <w:hyperlink r:id="rId9">
        <w:r>
          <w:rPr>
            <w:rStyle w:val="Hyperlink"/>
          </w:rPr>
          <w:t xml:space="preserve">corpay.com</w:t>
        </w:r>
      </w:hyperlink>
      <w:r>
        <w:t xml:space="preserve">)</w:t>
      </w:r>
    </w:p>
    <w:bookmarkStart w:id="10" w:name="executive-view"/>
    <w:p>
      <w:pPr>
        <w:pStyle w:val="Heading2"/>
      </w:pPr>
      <w:r>
        <w:t xml:space="preserve">Executive view</w:t>
      </w:r>
    </w:p>
    <w:p>
      <w:pPr>
        <w:pStyle w:val="FirstParagraph"/>
      </w:pPr>
      <w:r>
        <w:t xml:space="preserve">Corpay enters Q2 with strong operating momentum—and a substantially higher bar.</w:t>
      </w:r>
    </w:p>
    <w:p>
      <w:pPr>
        <w:pStyle w:val="BodyText"/>
      </w:pPr>
      <w:r>
        <w:t xml:space="preserve">The company posted an exceptional first quarter, raised full-year guidance, and benefited from strength across Corporate Payments, Vehicle Payments and improving Lodging. Since the close immediately before that report, CPAY shares have appreciated roughly 30%, reaching approximately</w:t>
      </w:r>
      <w:r>
        <w:t xml:space="preserve"> </w:t>
      </w:r>
      <w:r>
        <w:rPr>
          <w:b/>
          <w:bCs/>
        </w:rPr>
        <w:t xml:space="preserve">$396.50 on August 4</w:t>
      </w:r>
      <w:r>
        <w:t xml:space="preserve">. At that price, the stock trades near</w:t>
      </w:r>
      <w:r>
        <w:t xml:space="preserve"> </w:t>
      </w:r>
      <w:r>
        <w:rPr>
          <w:b/>
          <w:bCs/>
        </w:rPr>
        <w:t xml:space="preserve">14.9x</w:t>
      </w:r>
      <w:r>
        <w:t xml:space="preserve"> </w:t>
      </w:r>
      <w:r>
        <w:t xml:space="preserve">the midpoint of management’s 2026 adjusted EPS guidance.</w:t>
      </w:r>
    </w:p>
    <w:p>
      <w:pPr>
        <w:pStyle w:val="BodyText"/>
      </w:pPr>
      <w:r>
        <w:t xml:space="preserve">That valuation is not especially demanding for a company targeting double-digit organic revenue growth and mid-20% EPS growth. But after the rally, simply meeting the published Q2 outlook may not be enough. Investors will likely want:</w:t>
      </w:r>
    </w:p>
    <w:p>
      <w:pPr>
        <w:pStyle w:val="Compact"/>
        <w:numPr>
          <w:ilvl w:val="0"/>
          <w:numId w:val="1001"/>
        </w:numPr>
      </w:pPr>
      <w:r>
        <w:t xml:space="preserve">Organic growth near the top of the 9%–11% range.</w:t>
      </w:r>
    </w:p>
    <w:p>
      <w:pPr>
        <w:pStyle w:val="Compact"/>
        <w:numPr>
          <w:ilvl w:val="0"/>
          <w:numId w:val="1001"/>
        </w:numPr>
      </w:pPr>
      <w:r>
        <w:t xml:space="preserve">Continued high-teens growth in the core payables and cross-border franchises.</w:t>
      </w:r>
    </w:p>
    <w:p>
      <w:pPr>
        <w:pStyle w:val="Compact"/>
        <w:numPr>
          <w:ilvl w:val="0"/>
          <w:numId w:val="1001"/>
        </w:numPr>
      </w:pPr>
      <w:r>
        <w:t xml:space="preserve">Evidence that Lodging’s recovery is progressing.</w:t>
      </w:r>
    </w:p>
    <w:p>
      <w:pPr>
        <w:pStyle w:val="Compact"/>
        <w:numPr>
          <w:ilvl w:val="0"/>
          <w:numId w:val="1001"/>
        </w:numPr>
      </w:pPr>
      <w:r>
        <w:t xml:space="preserve">An increase—or at least a clear path to the upper end—of full-year EPS guidance.</w:t>
      </w:r>
    </w:p>
    <w:p>
      <w:pPr>
        <w:pStyle w:val="Compact"/>
        <w:numPr>
          <w:ilvl w:val="0"/>
          <w:numId w:val="1001"/>
        </w:numPr>
      </w:pPr>
      <w:r>
        <w:t xml:space="preserve">Continued buybacks without a meaningful deterioration in leverage.</w:t>
      </w:r>
    </w:p>
    <w:bookmarkEnd w:id="10"/>
    <w:bookmarkStart w:id="12" w:name="the-published-scorecard"/>
    <w:p>
      <w:pPr>
        <w:pStyle w:val="Heading2"/>
      </w:pPr>
      <w:r>
        <w:t xml:space="preserve">The published scorecard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Management’s Q2 outlook</w:t>
            </w:r>
          </w:p>
        </w:tc>
        <w:tc>
          <w:tcPr/>
          <w:p>
            <w:pPr>
              <w:pStyle w:val="Compact"/>
              <w:jc w:val="right"/>
            </w:pPr>
            <w:r>
              <w:t xml:space="preserve">Outside estimates</w:t>
            </w:r>
          </w:p>
        </w:tc>
        <w:tc>
          <w:tcPr/>
          <w:p>
            <w:pPr>
              <w:pStyle w:val="Compact"/>
            </w:pPr>
            <w:r>
              <w:t xml:space="preserve">Investor focus</w:t>
            </w:r>
          </w:p>
        </w:tc>
      </w:tr>
      <w:tr>
        <w:tc>
          <w:tcPr/>
          <w:p>
            <w:pPr>
              <w:pStyle w:val="Compact"/>
            </w:pPr>
            <w:r>
              <w:t xml:space="preserve">Revenue</w:t>
            </w:r>
          </w:p>
        </w:tc>
        <w:tc>
          <w:tcPr/>
          <w:p>
            <w:pPr>
              <w:pStyle w:val="Compact"/>
              <w:jc w:val="right"/>
            </w:pPr>
            <w:r>
              <w:rPr>
                <w:b/>
                <w:bCs/>
              </w:rPr>
              <w:t xml:space="preserve">~$1.295B</w:t>
            </w:r>
          </w:p>
        </w:tc>
        <w:tc>
          <w:tcPr/>
          <w:p>
            <w:pPr>
              <w:pStyle w:val="Compact"/>
              <w:jc w:val="right"/>
            </w:pPr>
            <w:r>
              <w:t xml:space="preserve">Approximately</w:t>
            </w:r>
            <w:r>
              <w:t xml:space="preserve"> </w:t>
            </w:r>
            <w:r>
              <w:rPr>
                <w:b/>
                <w:bCs/>
              </w:rPr>
              <w:t xml:space="preserve">$1.30B</w:t>
            </w:r>
          </w:p>
        </w:tc>
        <w:tc>
          <w:tcPr/>
          <w:p>
            <w:pPr>
              <w:pStyle w:val="Compact"/>
            </w:pPr>
            <w:r>
              <w:t xml:space="preserve">Quality and organic composition of growth</w:t>
            </w:r>
          </w:p>
        </w:tc>
      </w:tr>
      <w:tr>
        <w:tc>
          <w:tcPr/>
          <w:p>
            <w:pPr>
              <w:pStyle w:val="Compact"/>
            </w:pPr>
            <w:r>
              <w:t xml:space="preserve">Adjusted EPS</w:t>
            </w:r>
          </w:p>
        </w:tc>
        <w:tc>
          <w:tcPr/>
          <w:p>
            <w:pPr>
              <w:pStyle w:val="Compact"/>
              <w:jc w:val="right"/>
            </w:pPr>
            <m:oMath>
              <m:r>
                <m:t>6.45</m:t>
              </m:r>
              <m:r>
                <m:rPr>
                  <m:sty m:val="p"/>
                </m:rPr>
                <m:t>–</m:t>
              </m:r>
            </m:oMath>
            <w:r>
              <w:rPr>
                <w:b/>
                <w:bCs/>
              </w:rPr>
              <w:t xml:space="preserve">6.65; $6.55 midpoint</w:t>
            </w:r>
          </w:p>
        </w:tc>
        <w:tc>
          <w:tcPr/>
          <w:p>
            <w:pPr>
              <w:pStyle w:val="Compact"/>
              <w:jc w:val="right"/>
            </w:pPr>
            <w:r>
              <w:t xml:space="preserve">Roughly</w:t>
            </w:r>
            <w:r>
              <w:t xml:space="preserve"> </w:t>
            </w:r>
            <m:oMath>
              <m:r>
                <m:t>6.49</m:t>
              </m:r>
              <m:r>
                <m:rPr>
                  <m:sty m:val="p"/>
                </m:rPr>
                <m:t>–</m:t>
              </m:r>
            </m:oMath>
            <w:r>
              <w:rPr>
                <w:b/>
                <w:bCs/>
              </w:rPr>
              <w:t xml:space="preserve">6.58</w:t>
            </w:r>
            <w:r>
              <w:t xml:space="preserve"> </w:t>
            </w:r>
            <w:r>
              <w:t xml:space="preserve">across published services</w:t>
            </w:r>
          </w:p>
        </w:tc>
        <w:tc>
          <w:tcPr/>
          <w:p>
            <w:pPr>
              <w:pStyle w:val="Compact"/>
            </w:pPr>
            <w:r>
              <w:t xml:space="preserve">A result above the top end would be more convincing</w:t>
            </w:r>
          </w:p>
        </w:tc>
      </w:tr>
      <w:tr>
        <w:tc>
          <w:tcPr/>
          <w:p>
            <w:pPr>
              <w:pStyle w:val="Compact"/>
            </w:pPr>
            <w:r>
              <w:t xml:space="preserve">Revenue growth</w:t>
            </w:r>
          </w:p>
        </w:tc>
        <w:tc>
          <w:tcPr/>
          <w:p>
            <w:pPr>
              <w:pStyle w:val="Compact"/>
              <w:jc w:val="right"/>
            </w:pPr>
            <w:r>
              <w:rPr>
                <w:b/>
                <w:bCs/>
              </w:rPr>
              <w:t xml:space="preserve">~18%</w:t>
            </w:r>
          </w:p>
        </w:tc>
        <w:tc>
          <w:tcPr/>
          <w:p>
            <w:pPr>
              <w:pStyle w:val="Compact"/>
              <w:jc w:val="right"/>
            </w:pPr>
            <w:r>
              <w:t xml:space="preserve">Similar</w:t>
            </w:r>
          </w:p>
        </w:tc>
        <w:tc>
          <w:tcPr/>
          <w:p>
            <w:pPr>
              <w:pStyle w:val="Compact"/>
            </w:pPr>
            <w:r>
              <w:t xml:space="preserve">Acquisition and FX contributions versus organic growth</w:t>
            </w:r>
          </w:p>
        </w:tc>
      </w:tr>
      <w:tr>
        <w:tc>
          <w:tcPr/>
          <w:p>
            <w:pPr>
              <w:pStyle w:val="Compact"/>
            </w:pPr>
            <w:r>
              <w:t xml:space="preserve">Organic revenue growth</w:t>
            </w:r>
          </w:p>
        </w:tc>
        <w:tc>
          <w:tcPr/>
          <w:p>
            <w:pPr>
              <w:pStyle w:val="Compact"/>
              <w:jc w:val="right"/>
            </w:pPr>
            <w:r>
              <w:rPr>
                <w:b/>
                <w:bCs/>
              </w:rPr>
              <w:t xml:space="preserve">9%–11%</w:t>
            </w:r>
          </w:p>
        </w:tc>
        <w:tc>
          <w:tcPr/>
          <w:p>
            <w:pPr>
              <w:pStyle w:val="Compact"/>
              <w:jc w:val="right"/>
            </w:pPr>
            <w:r>
              <w:t xml:space="preserve">Not uniformly published</w:t>
            </w:r>
          </w:p>
        </w:tc>
        <w:tc>
          <w:tcPr/>
          <w:p>
            <w:pPr>
              <w:pStyle w:val="Compact"/>
            </w:pPr>
            <w:r>
              <w:t xml:space="preserve">Probably the most important operating KPI</w:t>
            </w:r>
          </w:p>
        </w:tc>
      </w:tr>
      <w:tr>
        <w:tc>
          <w:tcPr/>
          <w:p>
            <w:pPr>
              <w:pStyle w:val="Compact"/>
            </w:pPr>
            <w:r>
              <w:t xml:space="preserve">FY26 revenue</w:t>
            </w:r>
          </w:p>
        </w:tc>
        <w:tc>
          <w:tcPr/>
          <w:p>
            <w:pPr>
              <w:pStyle w:val="Compact"/>
              <w:jc w:val="right"/>
            </w:pPr>
            <m:oMath>
              <m:r>
                <m:t>5.25</m:t>
              </m:r>
              <m:r>
                <m:t>B</m:t>
              </m:r>
              <m:r>
                <m:rPr>
                  <m:sty m:val="p"/>
                </m:rPr>
                <m:t>–</m:t>
              </m:r>
            </m:oMath>
            <w:r>
              <w:rPr>
                <w:b/>
                <w:bCs/>
              </w:rPr>
              <w:t xml:space="preserve">5.33B</w:t>
            </w:r>
          </w:p>
        </w:tc>
        <w:tc>
          <w:tcPr/>
          <w:p>
            <w:pPr>
              <w:pStyle w:val="Compact"/>
              <w:jc w:val="right"/>
            </w:pPr>
            <w:r>
              <w:t xml:space="preserve">—</w:t>
            </w:r>
          </w:p>
        </w:tc>
        <w:tc>
          <w:tcPr/>
          <w:p>
            <w:pPr>
              <w:pStyle w:val="Compact"/>
            </w:pPr>
            <w:r>
              <w:t xml:space="preserve">Potential raise and underlying assumptions</w:t>
            </w:r>
          </w:p>
        </w:tc>
      </w:tr>
      <w:tr>
        <w:tc>
          <w:tcPr/>
          <w:p>
            <w:pPr>
              <w:pStyle w:val="Compact"/>
            </w:pPr>
            <w:r>
              <w:t xml:space="preserve">FY26 adjusted EPS</w:t>
            </w:r>
          </w:p>
        </w:tc>
        <w:tc>
          <w:tcPr/>
          <w:p>
            <w:pPr>
              <w:pStyle w:val="Compact"/>
              <w:jc w:val="right"/>
            </w:pPr>
            <m:oMath>
              <m:r>
                <m:t>26.30</m:t>
              </m:r>
              <m:r>
                <m:rPr>
                  <m:sty m:val="p"/>
                </m:rPr>
                <m:t>–</m:t>
              </m:r>
            </m:oMath>
            <w:r>
              <w:rPr>
                <w:b/>
                <w:bCs/>
              </w:rPr>
              <w:t xml:space="preserve">27.10</w:t>
            </w:r>
          </w:p>
        </w:tc>
        <w:tc>
          <w:tcPr/>
          <w:p>
            <w:pPr>
              <w:pStyle w:val="Compact"/>
              <w:jc w:val="right"/>
            </w:pPr>
            <w:r>
              <w:t xml:space="preserve">—</w:t>
            </w:r>
          </w:p>
        </w:tc>
        <w:tc>
          <w:tcPr/>
          <w:p>
            <w:pPr>
              <w:pStyle w:val="Compact"/>
            </w:pPr>
            <w:r>
              <w:t xml:space="preserve">Whether refinancing, buybacks and operating momentum support upside</w:t>
            </w:r>
          </w:p>
        </w:tc>
      </w:tr>
    </w:tbl>
    <w:p>
      <w:pPr>
        <w:pStyle w:val="BodyText"/>
      </w:pPr>
      <w:r>
        <w:t xml:space="preserve">Management’s own Q2 guidance is effectively in line with the current outside consensus, although estimate providers differ modestly. (</w:t>
      </w:r>
      <w:hyperlink r:id="rId11">
        <w:r>
          <w:rPr>
            <w:rStyle w:val="Hyperlink"/>
          </w:rPr>
          <w:t xml:space="preserve">investor.corpay.com</w:t>
        </w:r>
      </w:hyperlink>
      <w:r>
        <w:t xml:space="preserve">)</w:t>
      </w:r>
    </w:p>
    <w:bookmarkEnd w:id="12"/>
    <w:bookmarkStart w:id="22" w:name="what-matters-most"/>
    <w:p>
      <w:pPr>
        <w:pStyle w:val="Heading2"/>
      </w:pPr>
      <w:r>
        <w:t xml:space="preserve">What matters most</w:t>
      </w:r>
    </w:p>
    <w:bookmarkStart w:id="13" w:name="Xa1d6bf5202af521195898b010f950665be939e6"/>
    <w:p>
      <w:pPr>
        <w:pStyle w:val="Heading3"/>
      </w:pPr>
      <w:r>
        <w:t xml:space="preserve">1. Corporate Payments must remain the growth engine</w:t>
      </w:r>
    </w:p>
    <w:p>
      <w:pPr>
        <w:pStyle w:val="FirstParagraph"/>
      </w:pPr>
      <w:r>
        <w:t xml:space="preserve">Corporate Payments generated</w:t>
      </w:r>
      <w:r>
        <w:t xml:space="preserve"> </w:t>
      </w:r>
      <w:r>
        <w:rPr>
          <w:b/>
          <w:bCs/>
        </w:rPr>
        <w:t xml:space="preserve">16% organic revenue growth</w:t>
      </w:r>
      <w:r>
        <w:t xml:space="preserve"> </w:t>
      </w:r>
      <w:r>
        <w:t xml:space="preserve">in Q1 and accounted for 40% of consolidated revenue. Management said both payables and cross-border grew in the high teens, while organic spend volume increased 43%. The segment delivered this growth despite lower rates compressing float revenue.</w:t>
      </w:r>
    </w:p>
    <w:p>
      <w:pPr>
        <w:pStyle w:val="BodyText"/>
      </w:pPr>
      <w:r>
        <w:t xml:space="preserve">That makes Corporate Payments the clearest determinant of the stock’s longer-term multiple. Investors should focus on:</w:t>
      </w:r>
    </w:p>
    <w:p>
      <w:pPr>
        <w:pStyle w:val="Compact"/>
        <w:numPr>
          <w:ilvl w:val="0"/>
          <w:numId w:val="1002"/>
        </w:numPr>
      </w:pPr>
      <w:r>
        <w:t xml:space="preserve">Organic revenue growth relative to Q1’s 16%.</w:t>
      </w:r>
    </w:p>
    <w:p>
      <w:pPr>
        <w:pStyle w:val="Compact"/>
        <w:numPr>
          <w:ilvl w:val="0"/>
          <w:numId w:val="1002"/>
        </w:numPr>
      </w:pPr>
      <w:r>
        <w:t xml:space="preserve">New-sales momentum in cross-border and payables.</w:t>
      </w:r>
    </w:p>
    <w:p>
      <w:pPr>
        <w:pStyle w:val="Compact"/>
        <w:numPr>
          <w:ilvl w:val="0"/>
          <w:numId w:val="1002"/>
        </w:numPr>
      </w:pPr>
      <w:r>
        <w:t xml:space="preserve">Revenue yield versus spend growth.</w:t>
      </w:r>
    </w:p>
    <w:p>
      <w:pPr>
        <w:pStyle w:val="Compact"/>
        <w:numPr>
          <w:ilvl w:val="0"/>
          <w:numId w:val="1002"/>
        </w:numPr>
      </w:pPr>
      <w:r>
        <w:t xml:space="preserve">Alpha integration and customer migrations.</w:t>
      </w:r>
    </w:p>
    <w:p>
      <w:pPr>
        <w:pStyle w:val="Compact"/>
        <w:numPr>
          <w:ilvl w:val="0"/>
          <w:numId w:val="1002"/>
        </w:numPr>
      </w:pPr>
      <w:r>
        <w:t xml:space="preserve">AvidXchange operating performance and any updated path toward eventual consolidation.</w:t>
      </w:r>
    </w:p>
    <w:p>
      <w:pPr>
        <w:pStyle w:val="Compact"/>
        <w:numPr>
          <w:ilvl w:val="0"/>
          <w:numId w:val="1002"/>
        </w:numPr>
      </w:pPr>
      <w:r>
        <w:t xml:space="preserve">Progress expanding spend-management products outside the United States.</w:t>
      </w:r>
    </w:p>
    <w:p>
      <w:pPr>
        <w:pStyle w:val="FirstParagraph"/>
      </w:pPr>
      <w:r>
        <w:t xml:space="preserve">A modest deceleration from Q1 would be understandable. A drop toward low-double-digit growth, however, could raise questions about whether Q1 benefited unusually from currency volatility and enterprise-client onboarding.</w:t>
      </w:r>
    </w:p>
    <w:bookmarkEnd w:id="13"/>
    <w:bookmarkStart w:id="15" w:name="Xb0d2db6ae34227f8933b848aface5548b60173a"/>
    <w:p>
      <w:pPr>
        <w:pStyle w:val="Heading3"/>
      </w:pPr>
      <w:r>
        <w:t xml:space="preserve">2. Cross-border performance will drive the narrative</w:t>
      </w:r>
    </w:p>
    <w:p>
      <w:pPr>
        <w:pStyle w:val="FirstParagraph"/>
      </w:pPr>
      <w:r>
        <w:t xml:space="preserve">Corpay has framed cross-border as its largest and fastest-growing business. At its May teach-in, management laid out a</w:t>
      </w:r>
      <w:r>
        <w:t xml:space="preserve"> </w:t>
      </w:r>
      <w:r>
        <w:rPr>
          <w:b/>
          <w:bCs/>
        </w:rPr>
        <w:t xml:space="preserve">$161 billion middle-market revenue opportunity</w:t>
      </w:r>
      <w:r>
        <w:t xml:space="preserve">, where it estimates Corpay has less than 1% share. The business grew organic revenue 18% in 2025 by adding new sales equal to roughly 21% of the prior-year base while retaining approximately 97% of existing revenue. (</w:t>
      </w:r>
      <w:hyperlink r:id="rId14">
        <w:r>
          <w:rPr>
            <w:rStyle w:val="Hyperlink"/>
          </w:rPr>
          <w:t xml:space="preserve">investor.corpay.com</w:t>
        </w:r>
      </w:hyperlink>
      <w:r>
        <w:t xml:space="preserve">)</w:t>
      </w:r>
    </w:p>
    <w:p>
      <w:pPr>
        <w:pStyle w:val="BodyText"/>
      </w:pPr>
      <w:r>
        <w:t xml:space="preserve">Key questions for Q2 include:</w:t>
      </w:r>
    </w:p>
    <w:p>
      <w:pPr>
        <w:pStyle w:val="Compact"/>
        <w:numPr>
          <w:ilvl w:val="0"/>
          <w:numId w:val="1003"/>
        </w:numPr>
      </w:pPr>
      <w:r>
        <w:t xml:space="preserve">Did elevated FX volatility continue to support client acquisition?</w:t>
      </w:r>
    </w:p>
    <w:p>
      <w:pPr>
        <w:pStyle w:val="Compact"/>
        <w:numPr>
          <w:ilvl w:val="0"/>
          <w:numId w:val="1003"/>
        </w:numPr>
      </w:pPr>
      <w:r>
        <w:t xml:space="preserve">Is Alpha maintaining mid-to-high-teens organic growth?</w:t>
      </w:r>
    </w:p>
    <w:p>
      <w:pPr>
        <w:pStyle w:val="Compact"/>
        <w:numPr>
          <w:ilvl w:val="0"/>
          <w:numId w:val="1003"/>
        </w:numPr>
      </w:pPr>
      <w:r>
        <w:t xml:space="preserve">How much Alpha volume has migrated to Corpay’s technology platform?</w:t>
      </w:r>
    </w:p>
    <w:p>
      <w:pPr>
        <w:pStyle w:val="Compact"/>
        <w:numPr>
          <w:ilvl w:val="0"/>
          <w:numId w:val="1003"/>
        </w:numPr>
      </w:pPr>
      <w:r>
        <w:t xml:space="preserve">Are Mastercard referrals converting into revenue?</w:t>
      </w:r>
    </w:p>
    <w:p>
      <w:pPr>
        <w:pStyle w:val="Compact"/>
        <w:numPr>
          <w:ilvl w:val="0"/>
          <w:numId w:val="1003"/>
        </w:numPr>
      </w:pPr>
      <w:r>
        <w:t xml:space="preserve">Are multicurrency accounts producing meaningful cross-sell?</w:t>
      </w:r>
    </w:p>
    <w:p>
      <w:pPr>
        <w:pStyle w:val="Compact"/>
        <w:numPr>
          <w:ilvl w:val="0"/>
          <w:numId w:val="1003"/>
        </w:numPr>
      </w:pPr>
      <w:r>
        <w:t xml:space="preserve">Has demand from digital-asset platforms become financially material?</w:t>
      </w:r>
    </w:p>
    <w:p>
      <w:pPr>
        <w:pStyle w:val="FirstParagraph"/>
      </w:pPr>
      <w:r>
        <w:t xml:space="preserve">The stablecoin debate is unlikely to be resolved by one quarter, but investors should listen for evidence supporting management’s argument that blockchain is an additional settlement rail rather than a threat to Corpay’s FX and workflow economics. Corpay says most customer value comes from compliance, conversion, workflow and local delivery—not the rail itself. (</w:t>
      </w:r>
      <w:hyperlink r:id="rId14">
        <w:r>
          <w:rPr>
            <w:rStyle w:val="Hyperlink"/>
          </w:rPr>
          <w:t xml:space="preserve">investor.corpay.com</w:t>
        </w:r>
      </w:hyperlink>
      <w:r>
        <w:t xml:space="preserve">)</w:t>
      </w:r>
    </w:p>
    <w:bookmarkEnd w:id="15"/>
    <w:bookmarkStart w:id="16" w:name="Xbb59a2eacd955231c064351d69632c8538a236a"/>
    <w:p>
      <w:pPr>
        <w:pStyle w:val="Heading3"/>
      </w:pPr>
      <w:r>
        <w:t xml:space="preserve">3. Lodging needs to confirm the recovery</w:t>
      </w:r>
    </w:p>
    <w:p>
      <w:pPr>
        <w:pStyle w:val="FirstParagraph"/>
      </w:pPr>
      <w:r>
        <w:t xml:space="preserve">Lodging revenue was approximately flat organically in Q1, but that represented a meaningful sequential improvement. Management said same-store sales had turned positive and expected the business to reach mid-to-high-single-digit growth during the second half.</w:t>
      </w:r>
    </w:p>
    <w:p>
      <w:pPr>
        <w:pStyle w:val="BodyText"/>
      </w:pPr>
      <w:r>
        <w:t xml:space="preserve">This is an important swing factor because consolidated growth becomes easier to sustain if Lodging moves from a drag to a contributor.</w:t>
      </w:r>
    </w:p>
    <w:p>
      <w:pPr>
        <w:pStyle w:val="BodyText"/>
      </w:pPr>
      <w:r>
        <w:t xml:space="preserve">Look for:</w:t>
      </w:r>
    </w:p>
    <w:p>
      <w:pPr>
        <w:pStyle w:val="Compact"/>
        <w:numPr>
          <w:ilvl w:val="0"/>
          <w:numId w:val="1004"/>
        </w:numPr>
      </w:pPr>
      <w:r>
        <w:t xml:space="preserve">Room-night trends, which were down 25% in Q1.</w:t>
      </w:r>
    </w:p>
    <w:p>
      <w:pPr>
        <w:pStyle w:val="Compact"/>
        <w:numPr>
          <w:ilvl w:val="0"/>
          <w:numId w:val="1004"/>
        </w:numPr>
      </w:pPr>
      <w:r>
        <w:t xml:space="preserve">The balance between room-night volume and revenue per room night.</w:t>
      </w:r>
    </w:p>
    <w:p>
      <w:pPr>
        <w:pStyle w:val="Compact"/>
        <w:numPr>
          <w:ilvl w:val="0"/>
          <w:numId w:val="1004"/>
        </w:numPr>
      </w:pPr>
      <w:r>
        <w:t xml:space="preserve">Airline and workforce demand.</w:t>
      </w:r>
    </w:p>
    <w:p>
      <w:pPr>
        <w:pStyle w:val="Compact"/>
        <w:numPr>
          <w:ilvl w:val="0"/>
          <w:numId w:val="1004"/>
        </w:numPr>
      </w:pPr>
      <w:r>
        <w:t xml:space="preserve">FEMA-related comparisons.</w:t>
      </w:r>
    </w:p>
    <w:p>
      <w:pPr>
        <w:pStyle w:val="Compact"/>
        <w:numPr>
          <w:ilvl w:val="0"/>
          <w:numId w:val="1004"/>
        </w:numPr>
      </w:pPr>
      <w:r>
        <w:t xml:space="preserve">Explicit confirmation of positive second-half organic growth.</w:t>
      </w:r>
    </w:p>
    <w:p>
      <w:pPr>
        <w:pStyle w:val="FirstParagraph"/>
      </w:pPr>
      <w:r>
        <w:t xml:space="preserve">A flat or slightly positive Q2 would be acceptable if management maintains confidence in second-half acceleration. Another deterioration in volumes would weaken that thesis.</w:t>
      </w:r>
    </w:p>
    <w:bookmarkEnd w:id="16"/>
    <w:bookmarkStart w:id="18" w:name="Xf1495da4a564e34da46472a4545eb58890fcf23"/>
    <w:p>
      <w:pPr>
        <w:pStyle w:val="Heading3"/>
      </w:pPr>
      <w:r>
        <w:t xml:space="preserve">4. Vehicle Payments should benefit from fuel, but the quality matters</w:t>
      </w:r>
    </w:p>
    <w:p>
      <w:pPr>
        <w:pStyle w:val="FirstParagraph"/>
      </w:pPr>
      <w:r>
        <w:t xml:space="preserve">Vehicle Payments grew 10% organically in Q1, with contributions from the United States, Europe and Brazil. Fuel prices were supportive, and Q2 gasoline prices were broadly consistent with—or modestly above—the $4.17-per-gallon assumption incorporated into Corpay’s May guidance.</w:t>
      </w:r>
    </w:p>
    <w:p>
      <w:pPr>
        <w:pStyle w:val="BodyText"/>
      </w:pPr>
      <w:r>
        <w:t xml:space="preserve">The potential complication is the second half. The EIA’s July outlook suggested gasoline prices would moderate from more than $4.20 in Q2 toward roughly $3.80 in Q3. That could reduce the macro contribution later in the year even if Q2 receives some benefit. (</w:t>
      </w:r>
      <w:hyperlink r:id="rId17">
        <w:r>
          <w:rPr>
            <w:rStyle w:val="Hyperlink"/>
          </w:rPr>
          <w:t xml:space="preserve">eia.gov</w:t>
        </w:r>
      </w:hyperlink>
      <w:r>
        <w:t xml:space="preserve">)</w:t>
      </w:r>
    </w:p>
    <w:p>
      <w:pPr>
        <w:pStyle w:val="BodyText"/>
      </w:pPr>
      <w:r>
        <w:t xml:space="preserve">Investors should separate:</w:t>
      </w:r>
    </w:p>
    <w:p>
      <w:pPr>
        <w:pStyle w:val="Compact"/>
        <w:numPr>
          <w:ilvl w:val="0"/>
          <w:numId w:val="1005"/>
        </w:numPr>
      </w:pPr>
      <w:r>
        <w:t xml:space="preserve">Transaction growth.</w:t>
      </w:r>
    </w:p>
    <w:p>
      <w:pPr>
        <w:pStyle w:val="Compact"/>
        <w:numPr>
          <w:ilvl w:val="0"/>
          <w:numId w:val="1005"/>
        </w:numPr>
      </w:pPr>
      <w:r>
        <w:t xml:space="preserve">Revenue per transaction.</w:t>
      </w:r>
    </w:p>
    <w:p>
      <w:pPr>
        <w:pStyle w:val="Compact"/>
        <w:numPr>
          <w:ilvl w:val="0"/>
          <w:numId w:val="1005"/>
        </w:numPr>
      </w:pPr>
      <w:r>
        <w:t xml:space="preserve">Fuel-price effects.</w:t>
      </w:r>
    </w:p>
    <w:p>
      <w:pPr>
        <w:pStyle w:val="Compact"/>
        <w:numPr>
          <w:ilvl w:val="0"/>
          <w:numId w:val="1005"/>
        </w:numPr>
      </w:pPr>
      <w:r>
        <w:t xml:space="preserve">Fuel-spread effects.</w:t>
      </w:r>
    </w:p>
    <w:p>
      <w:pPr>
        <w:pStyle w:val="Compact"/>
        <w:numPr>
          <w:ilvl w:val="0"/>
          <w:numId w:val="1005"/>
        </w:numPr>
      </w:pPr>
      <w:r>
        <w:t xml:space="preserve">Organic sales performance, particularly in U.S. middle-market fleet.</w:t>
      </w:r>
    </w:p>
    <w:p>
      <w:pPr>
        <w:pStyle w:val="Compact"/>
        <w:numPr>
          <w:ilvl w:val="0"/>
          <w:numId w:val="1005"/>
        </w:numPr>
      </w:pPr>
      <w:r>
        <w:t xml:space="preserve">Brazil growth following the Gringo acquisition.</w:t>
      </w:r>
    </w:p>
    <w:p>
      <w:pPr>
        <w:pStyle w:val="FirstParagraph"/>
      </w:pPr>
      <w:r>
        <w:t xml:space="preserve">A fuel-driven revenue beat with soft transactions would be lower quality than a smaller beat supported by stronger volumes and sales.</w:t>
      </w:r>
    </w:p>
    <w:bookmarkEnd w:id="18"/>
    <w:bookmarkStart w:id="20" w:name="Xcd3e874876c755375047b08d4d1da1c799ca1ed"/>
    <w:p>
      <w:pPr>
        <w:pStyle w:val="Heading3"/>
      </w:pPr>
      <w:r>
        <w:t xml:space="preserve">5. Earnings guidance has identifiable upside levers</w:t>
      </w:r>
    </w:p>
    <w:p>
      <w:pPr>
        <w:pStyle w:val="FirstParagraph"/>
      </w:pPr>
      <w:r>
        <w:t xml:space="preserve">Corpay’s Q1 full-year midpoint was</w:t>
      </w:r>
      <w:r>
        <w:t xml:space="preserve"> </w:t>
      </w:r>
      <w:r>
        <w:rPr>
          <w:b/>
          <w:bCs/>
        </w:rPr>
        <w:t xml:space="preserve">$5.29 billion in revenue and $26.70 in adjusted EPS</w:t>
      </w:r>
      <w:r>
        <w:t xml:space="preserve">. If Q2 lands exactly at guidance, the company would need approximately:</w:t>
      </w:r>
    </w:p>
    <w:p>
      <w:pPr>
        <w:pStyle w:val="Compact"/>
        <w:numPr>
          <w:ilvl w:val="0"/>
          <w:numId w:val="1006"/>
        </w:numPr>
      </w:pPr>
      <w:r>
        <w:rPr>
          <w:b/>
          <w:bCs/>
        </w:rPr>
        <w:t xml:space="preserve">$2.734 billion of second-half revenue</w:t>
      </w:r>
      <w:r>
        <w:t xml:space="preserve">, and</w:t>
      </w:r>
    </w:p>
    <w:p>
      <w:pPr>
        <w:pStyle w:val="Compact"/>
        <w:numPr>
          <w:ilvl w:val="0"/>
          <w:numId w:val="1006"/>
        </w:numPr>
      </w:pPr>
      <w:r>
        <w:rPr>
          <w:b/>
          <w:bCs/>
        </w:rPr>
        <w:t xml:space="preserve">$14.35 of second-half adjusted EPS</w:t>
      </w:r>
      <w:r>
        <w:t xml:space="preserve">.</w:t>
      </w:r>
    </w:p>
    <w:p>
      <w:pPr>
        <w:pStyle w:val="FirstParagraph"/>
      </w:pPr>
      <w:r>
        <w:t xml:space="preserve">Those figures appear achievable if Corporate Payments remains strong, Lodging accelerates and buybacks continue. More importantly, the May guidance did not incorporate all the benefit from the subsequently completed debt refinancing.</w:t>
      </w:r>
    </w:p>
    <w:p>
      <w:pPr>
        <w:pStyle w:val="BodyText"/>
      </w:pPr>
      <w:r>
        <w:t xml:space="preserve">On May 21, Corpay increased its revolving facility to $3.7 billion, extended maturities and reduced U.S.-dollar borrowing rates by 10 basis points. Management explicitly said the refinancing would reduce annual interest expense. (</w:t>
      </w:r>
      <w:hyperlink r:id="rId19">
        <w:r>
          <w:rPr>
            <w:rStyle w:val="Hyperlink"/>
          </w:rPr>
          <w:t xml:space="preserve">investor.corpay.com</w:t>
        </w:r>
      </w:hyperlink>
      <w:r>
        <w:t xml:space="preserve">)</w:t>
      </w:r>
    </w:p>
    <w:p>
      <w:pPr>
        <w:pStyle w:val="BodyText"/>
      </w:pPr>
      <w:r>
        <w:t xml:space="preserve">That creates a straightforward potential source of EPS upside. A failure to raise guidance after a solid Q2 may therefore be interpreted as conservatism—or as an indication that lower fuel forecasts, integration expenses, taxes or other operating pressures are absorbing the savings.</w:t>
      </w:r>
    </w:p>
    <w:bookmarkEnd w:id="20"/>
    <w:bookmarkStart w:id="21" w:name="Xa36fd073f3ae978d30b07a40b39214fe9016190"/>
    <w:p>
      <w:pPr>
        <w:pStyle w:val="Heading3"/>
      </w:pPr>
      <w:r>
        <w:t xml:space="preserve">6. Capital allocation remains central</w:t>
      </w:r>
    </w:p>
    <w:p>
      <w:pPr>
        <w:pStyle w:val="FirstParagraph"/>
      </w:pPr>
      <w:r>
        <w:t xml:space="preserve">Corpay repurchased</w:t>
      </w:r>
      <w:r>
        <w:t xml:space="preserve"> </w:t>
      </w:r>
      <w:r>
        <w:rPr>
          <w:b/>
          <w:bCs/>
        </w:rPr>
        <w:t xml:space="preserve">2.4 million shares for</w:t>
      </w:r>
      <w:r>
        <w:rPr>
          <w:b/>
          <w:bCs/>
        </w:rPr>
        <w:t xml:space="preserve"> </w:t>
      </w:r>
      <m:oMath>
        <m:r>
          <m:t>786</m:t>
        </m:r>
        <m:r>
          <m:t>m</m:t>
        </m:r>
        <m:r>
          <m:t>i</m:t>
        </m:r>
        <m:r>
          <m:t>l</m:t>
        </m:r>
        <m:r>
          <m:t>l</m:t>
        </m:r>
        <m:r>
          <m:t>i</m:t>
        </m:r>
        <m:r>
          <m:t>o</m:t>
        </m:r>
        <m:r>
          <m:t>n</m:t>
        </m:r>
        <m:r>
          <m:rPr>
            <m:sty m:val="p"/>
          </m:rPr>
          <m:t>*</m:t>
        </m:r>
        <m:r>
          <m:rPr>
            <m:sty m:val="p"/>
          </m:rPr>
          <m:t>*</m:t>
        </m:r>
        <m:r>
          <m:t>i</m:t>
        </m:r>
        <m:r>
          <m:t>n</m:t>
        </m:r>
        <m:r>
          <m:t>Q</m:t>
        </m:r>
        <m:r>
          <m:t>1</m:t>
        </m:r>
        <m:r>
          <m:rPr>
            <m:sty m:val="p"/>
          </m:rPr>
          <m:t>,</m:t>
        </m:r>
        <m:r>
          <m:t>i</m:t>
        </m:r>
        <m:r>
          <m:t>m</m:t>
        </m:r>
        <m:r>
          <m:t>p</m:t>
        </m:r>
        <m:r>
          <m:t>l</m:t>
        </m:r>
        <m:r>
          <m:t>y</m:t>
        </m:r>
        <m:r>
          <m:t>i</m:t>
        </m:r>
        <m:r>
          <m:t>n</m:t>
        </m:r>
        <m:r>
          <m:t>g</m:t>
        </m:r>
        <m:r>
          <m:t>a</m:t>
        </m:r>
        <m:r>
          <m:t>n</m:t>
        </m:r>
        <m:r>
          <m:t>a</m:t>
        </m:r>
        <m:r>
          <m:t>v</m:t>
        </m:r>
        <m:r>
          <m:t>e</m:t>
        </m:r>
        <m:r>
          <m:t>r</m:t>
        </m:r>
        <m:r>
          <m:t>a</m:t>
        </m:r>
        <m:r>
          <m:t>g</m:t>
        </m:r>
        <m:r>
          <m:t>e</m:t>
        </m:r>
        <m:r>
          <m:t>p</m:t>
        </m:r>
        <m:r>
          <m:t>r</m:t>
        </m:r>
        <m:r>
          <m:t>i</m:t>
        </m:r>
        <m:r>
          <m:t>c</m:t>
        </m:r>
        <m:r>
          <m:t>e</m:t>
        </m:r>
        <m:r>
          <m:t>o</m:t>
        </m:r>
        <m:r>
          <m:t>f</m:t>
        </m:r>
        <m:r>
          <m:t>r</m:t>
        </m:r>
        <m:r>
          <m:t>o</m:t>
        </m:r>
        <m:r>
          <m:t>u</m:t>
        </m:r>
        <m:r>
          <m:t>g</m:t>
        </m:r>
        <m:r>
          <m:t>h</m:t>
        </m:r>
        <m:r>
          <m:t>l</m:t>
        </m:r>
        <m:r>
          <m:t>y</m:t>
        </m:r>
        <m:r>
          <m:rPr>
            <m:sty m:val="p"/>
          </m:rPr>
          <m:t>*</m:t>
        </m:r>
        <m:r>
          <m:rPr>
            <m:sty m:val="p"/>
          </m:rPr>
          <m:t>*</m:t>
        </m:r>
      </m:oMath>
      <w:r>
        <w:rPr>
          <w:b/>
          <w:bCs/>
        </w:rPr>
        <w:t xml:space="preserve">327.50</w:t>
      </w:r>
      <w:r>
        <w:t xml:space="preserve">, and still ended the quarter at 2.7x leverage. It subsequently expanded its repurchase authorization. (</w:t>
      </w:r>
      <w:hyperlink r:id="rId11">
        <w:r>
          <w:rPr>
            <w:rStyle w:val="Hyperlink"/>
          </w:rPr>
          <w:t xml:space="preserve">investor.corpay.com</w:t>
        </w:r>
      </w:hyperlink>
      <w:r>
        <w:t xml:space="preserve">)</w:t>
      </w:r>
    </w:p>
    <w:p>
      <w:pPr>
        <w:pStyle w:val="BodyText"/>
      </w:pPr>
      <w:r>
        <w:t xml:space="preserve">The Q2 disclosure should answer:</w:t>
      </w:r>
    </w:p>
    <w:p>
      <w:pPr>
        <w:pStyle w:val="Compact"/>
        <w:numPr>
          <w:ilvl w:val="0"/>
          <w:numId w:val="1007"/>
        </w:numPr>
      </w:pPr>
      <w:r>
        <w:t xml:space="preserve">How many shares were repurchased?</w:t>
      </w:r>
    </w:p>
    <w:p>
      <w:pPr>
        <w:pStyle w:val="Compact"/>
        <w:numPr>
          <w:ilvl w:val="0"/>
          <w:numId w:val="1007"/>
        </w:numPr>
      </w:pPr>
      <w:r>
        <w:t xml:space="preserve">At what average price?</w:t>
      </w:r>
    </w:p>
    <w:p>
      <w:pPr>
        <w:pStyle w:val="Compact"/>
        <w:numPr>
          <w:ilvl w:val="0"/>
          <w:numId w:val="1007"/>
        </w:numPr>
      </w:pPr>
      <w:r>
        <w:t xml:space="preserve">What is the updated diluted share-count outlook?</w:t>
      </w:r>
    </w:p>
    <w:p>
      <w:pPr>
        <w:pStyle w:val="Compact"/>
        <w:numPr>
          <w:ilvl w:val="0"/>
          <w:numId w:val="1007"/>
        </w:numPr>
      </w:pPr>
      <w:r>
        <w:t xml:space="preserve">Where did leverage finish?</w:t>
      </w:r>
    </w:p>
    <w:p>
      <w:pPr>
        <w:pStyle w:val="Compact"/>
        <w:numPr>
          <w:ilvl w:val="0"/>
          <w:numId w:val="1007"/>
        </w:numPr>
      </w:pPr>
      <w:r>
        <w:t xml:space="preserve">Is incremental capital more likely to go toward buybacks or Corporate Payments acquisitions?</w:t>
      </w:r>
    </w:p>
    <w:p>
      <w:pPr>
        <w:pStyle w:val="Compact"/>
        <w:numPr>
          <w:ilvl w:val="0"/>
          <w:numId w:val="1007"/>
        </w:numPr>
      </w:pPr>
      <w:r>
        <w:t xml:space="preserve">Is the previously discussed noncore divestiture still progressing?</w:t>
      </w:r>
    </w:p>
    <w:p>
      <w:pPr>
        <w:pStyle w:val="FirstParagraph"/>
      </w:pPr>
      <w:r>
        <w:t xml:space="preserve">Buybacks are less accretive near $397 than they were near $327, but the stock still trades below 15x management’s current adjusted EPS midpoint. That leaves repurchases economically plausible, assuming leverage remains controlled.</w:t>
      </w:r>
    </w:p>
    <w:bookmarkEnd w:id="21"/>
    <w:bookmarkEnd w:id="22"/>
    <w:bookmarkStart w:id="27" w:name="risks-to-watch"/>
    <w:p>
      <w:pPr>
        <w:pStyle w:val="Heading2"/>
      </w:pPr>
      <w:r>
        <w:t xml:space="preserve">Risks to watch</w:t>
      </w:r>
    </w:p>
    <w:bookmarkStart w:id="23" w:name="credit-costs"/>
    <w:p>
      <w:pPr>
        <w:pStyle w:val="Heading3"/>
      </w:pPr>
      <w:r>
        <w:t xml:space="preserve">Credit costs</w:t>
      </w:r>
    </w:p>
    <w:p>
      <w:pPr>
        <w:pStyle w:val="FirstParagraph"/>
      </w:pPr>
      <w:r>
        <w:t xml:space="preserve">Q1 processing expense included approximately $11 million of higher bad-debt expense, reflecting increased transaction volumes and fuel prices. Investors should watch credit-loss provisions, particularly within smaller fleet customers.</w:t>
      </w:r>
    </w:p>
    <w:bookmarkEnd w:id="23"/>
    <w:bookmarkStart w:id="24" w:name="margin-quality"/>
    <w:p>
      <w:pPr>
        <w:pStyle w:val="Heading3"/>
      </w:pPr>
      <w:r>
        <w:t xml:space="preserve">Margin quality</w:t>
      </w:r>
    </w:p>
    <w:p>
      <w:pPr>
        <w:pStyle w:val="FirstParagraph"/>
      </w:pPr>
      <w:r>
        <w:t xml:space="preserve">Q1 adjusted EBITDA rose 24%, but adjusted EBITDA margin declined slightly year over year to 54.6%, largely because of acquisitions. The desirable Q2 outcome is strong organic revenue with stable-to-improving underlying margins—not EPS growth driven primarily by a lower share count.</w:t>
      </w:r>
    </w:p>
    <w:bookmarkEnd w:id="24"/>
    <w:bookmarkStart w:id="25" w:name="integration-and-complexity"/>
    <w:p>
      <w:pPr>
        <w:pStyle w:val="Heading3"/>
      </w:pPr>
      <w:r>
        <w:t xml:space="preserve">Integration and complexity</w:t>
      </w:r>
    </w:p>
    <w:p>
      <w:pPr>
        <w:pStyle w:val="FirstParagraph"/>
      </w:pPr>
      <w:r>
        <w:t xml:space="preserve">Alpha and the AvidXchange investment materially improve Corpay’s growth profile, but they also add integration, financing and execution risk. Alpha migrations, cross-selling and cost synergies should progress without disrupting client retention.</w:t>
      </w:r>
    </w:p>
    <w:bookmarkEnd w:id="25"/>
    <w:bookmarkStart w:id="26" w:name="expectations-embedded-in-the-stock"/>
    <w:p>
      <w:pPr>
        <w:pStyle w:val="Heading3"/>
      </w:pPr>
      <w:r>
        <w:t xml:space="preserve">Expectations embedded in the stock</w:t>
      </w:r>
    </w:p>
    <w:p>
      <w:pPr>
        <w:pStyle w:val="FirstParagraph"/>
      </w:pPr>
      <w:r>
        <w:t xml:space="preserve">The shares have appreciated sharply since Q1 and now sit only about 7% below the first $425 stock-price hurdle attached to recent executive performance awards. The market is already pricing in a meaningful portion of the improving narrative. A routine beat paired with unchanged guidance could produce a muted reaction.</w:t>
      </w:r>
    </w:p>
    <w:bookmarkEnd w:id="26"/>
    <w:bookmarkEnd w:id="27"/>
    <w:bookmarkStart w:id="31" w:name="my-earnings-framework"/>
    <w:p>
      <w:pPr>
        <w:pStyle w:val="Heading2"/>
      </w:pPr>
      <w:r>
        <w:t xml:space="preserve">My earnings framework</w:t>
      </w:r>
    </w:p>
    <w:bookmarkStart w:id="28" w:name="bull-case"/>
    <w:p>
      <w:pPr>
        <w:pStyle w:val="Heading3"/>
      </w:pPr>
      <w:r>
        <w:t xml:space="preserve">Bull case</w:t>
      </w:r>
    </w:p>
    <w:p>
      <w:pPr>
        <w:pStyle w:val="Compact"/>
        <w:numPr>
          <w:ilvl w:val="0"/>
          <w:numId w:val="1008"/>
        </w:numPr>
      </w:pPr>
      <w:r>
        <w:t xml:space="preserve">Revenue above</w:t>
      </w:r>
      <w:r>
        <w:t xml:space="preserve"> </w:t>
      </w:r>
      <w:r>
        <w:rPr>
          <w:b/>
          <w:bCs/>
        </w:rPr>
        <w:t xml:space="preserve">$1.31 billion</w:t>
      </w:r>
      <w:r>
        <w:t xml:space="preserve">.</w:t>
      </w:r>
    </w:p>
    <w:p>
      <w:pPr>
        <w:pStyle w:val="Compact"/>
        <w:numPr>
          <w:ilvl w:val="0"/>
          <w:numId w:val="1008"/>
        </w:numPr>
      </w:pPr>
      <w:r>
        <w:t xml:space="preserve">Adjusted EPS above</w:t>
      </w:r>
      <w:r>
        <w:t xml:space="preserve"> </w:t>
      </w:r>
      <w:r>
        <w:rPr>
          <w:b/>
          <w:bCs/>
        </w:rPr>
        <w:t xml:space="preserve">$6.65</w:t>
      </w:r>
      <w:r>
        <w:t xml:space="preserve">.</w:t>
      </w:r>
    </w:p>
    <w:p>
      <w:pPr>
        <w:pStyle w:val="Compact"/>
        <w:numPr>
          <w:ilvl w:val="0"/>
          <w:numId w:val="1008"/>
        </w:numPr>
      </w:pPr>
      <w:r>
        <w:t xml:space="preserve">Organic growth at or above</w:t>
      </w:r>
      <w:r>
        <w:t xml:space="preserve"> </w:t>
      </w:r>
      <w:r>
        <w:rPr>
          <w:b/>
          <w:bCs/>
        </w:rPr>
        <w:t xml:space="preserve">11%</w:t>
      </w:r>
      <w:r>
        <w:t xml:space="preserve">.</w:t>
      </w:r>
    </w:p>
    <w:p>
      <w:pPr>
        <w:pStyle w:val="Compact"/>
        <w:numPr>
          <w:ilvl w:val="0"/>
          <w:numId w:val="1008"/>
        </w:numPr>
      </w:pPr>
      <w:r>
        <w:t xml:space="preserve">Corporate Payments maintains mid-to-high-teens organic growth.</w:t>
      </w:r>
    </w:p>
    <w:p>
      <w:pPr>
        <w:pStyle w:val="Compact"/>
        <w:numPr>
          <w:ilvl w:val="0"/>
          <w:numId w:val="1008"/>
        </w:numPr>
      </w:pPr>
      <w:r>
        <w:t xml:space="preserve">Lodging confirms positive second-half acceleration.</w:t>
      </w:r>
    </w:p>
    <w:p>
      <w:pPr>
        <w:pStyle w:val="Compact"/>
        <w:numPr>
          <w:ilvl w:val="0"/>
          <w:numId w:val="1008"/>
        </w:numPr>
      </w:pPr>
      <w:r>
        <w:t xml:space="preserve">Full-year adjusted EPS guidance rises to at least the upper half of the existing range, potentially above $27.</w:t>
      </w:r>
    </w:p>
    <w:p>
      <w:pPr>
        <w:pStyle w:val="Compact"/>
        <w:numPr>
          <w:ilvl w:val="0"/>
          <w:numId w:val="1008"/>
        </w:numPr>
      </w:pPr>
      <w:r>
        <w:t xml:space="preserve">Continued aggressive buybacks with leverage stable around the target range.</w:t>
      </w:r>
    </w:p>
    <w:bookmarkEnd w:id="28"/>
    <w:bookmarkStart w:id="29" w:name="base-case"/>
    <w:p>
      <w:pPr>
        <w:pStyle w:val="Heading3"/>
      </w:pPr>
      <w:r>
        <w:t xml:space="preserve">Base case</w:t>
      </w:r>
    </w:p>
    <w:p>
      <w:pPr>
        <w:pStyle w:val="Compact"/>
        <w:numPr>
          <w:ilvl w:val="0"/>
          <w:numId w:val="1009"/>
        </w:numPr>
      </w:pPr>
      <w:r>
        <w:t xml:space="preserve">Revenue near</w:t>
      </w:r>
      <w:r>
        <w:t xml:space="preserve"> </w:t>
      </w:r>
      <m:oMath>
        <m:r>
          <m:t>1.295</m:t>
        </m:r>
        <m:r>
          <m:rPr>
            <m:sty m:val="p"/>
          </m:rPr>
          <m:t>–</m:t>
        </m:r>
      </m:oMath>
      <w:r>
        <w:rPr>
          <w:b/>
          <w:bCs/>
        </w:rPr>
        <w:t xml:space="preserve">1.31 billion</w:t>
      </w:r>
      <w:r>
        <w:t xml:space="preserve">.</w:t>
      </w:r>
    </w:p>
    <w:p>
      <w:pPr>
        <w:pStyle w:val="Compact"/>
        <w:numPr>
          <w:ilvl w:val="0"/>
          <w:numId w:val="1009"/>
        </w:numPr>
      </w:pPr>
      <w:r>
        <w:t xml:space="preserve">Adjusted EPS around</w:t>
      </w:r>
      <w:r>
        <w:t xml:space="preserve"> </w:t>
      </w:r>
      <m:oMath>
        <m:r>
          <m:t>6.55</m:t>
        </m:r>
        <m:r>
          <m:rPr>
            <m:sty m:val="p"/>
          </m:rPr>
          <m:t>–</m:t>
        </m:r>
      </m:oMath>
      <w:r>
        <w:rPr>
          <w:b/>
          <w:bCs/>
        </w:rPr>
        <w:t xml:space="preserve">6.65</w:t>
      </w:r>
      <w:r>
        <w:t xml:space="preserve">.</w:t>
      </w:r>
    </w:p>
    <w:p>
      <w:pPr>
        <w:pStyle w:val="Compact"/>
        <w:numPr>
          <w:ilvl w:val="0"/>
          <w:numId w:val="1009"/>
        </w:numPr>
      </w:pPr>
      <w:r>
        <w:t xml:space="preserve">Organic growth around</w:t>
      </w:r>
      <w:r>
        <w:t xml:space="preserve"> </w:t>
      </w:r>
      <w:r>
        <w:rPr>
          <w:b/>
          <w:bCs/>
        </w:rPr>
        <w:t xml:space="preserve">10%</w:t>
      </w:r>
      <w:r>
        <w:t xml:space="preserve">.</w:t>
      </w:r>
    </w:p>
    <w:p>
      <w:pPr>
        <w:pStyle w:val="Compact"/>
        <w:numPr>
          <w:ilvl w:val="0"/>
          <w:numId w:val="1009"/>
        </w:numPr>
      </w:pPr>
      <w:r>
        <w:t xml:space="preserve">Corporate Payments decelerates modestly but remains healthy.</w:t>
      </w:r>
    </w:p>
    <w:p>
      <w:pPr>
        <w:pStyle w:val="Compact"/>
        <w:numPr>
          <w:ilvl w:val="0"/>
          <w:numId w:val="1009"/>
        </w:numPr>
      </w:pPr>
      <w:r>
        <w:t xml:space="preserve">Lodging continues improving.</w:t>
      </w:r>
    </w:p>
    <w:p>
      <w:pPr>
        <w:pStyle w:val="Compact"/>
        <w:numPr>
          <w:ilvl w:val="0"/>
          <w:numId w:val="1009"/>
        </w:numPr>
      </w:pPr>
      <w:r>
        <w:t xml:space="preserve">Full-year guidance is maintained or increased modestly, with refinancing savings partly offset by lower second-half fuel assumptions.</w:t>
      </w:r>
    </w:p>
    <w:bookmarkEnd w:id="29"/>
    <w:bookmarkStart w:id="30" w:name="bear-case"/>
    <w:p>
      <w:pPr>
        <w:pStyle w:val="Heading3"/>
      </w:pPr>
      <w:r>
        <w:t xml:space="preserve">Bear case</w:t>
      </w:r>
    </w:p>
    <w:p>
      <w:pPr>
        <w:pStyle w:val="Compact"/>
        <w:numPr>
          <w:ilvl w:val="0"/>
          <w:numId w:val="1010"/>
        </w:numPr>
      </w:pPr>
      <w:r>
        <w:t xml:space="preserve">Revenue below</w:t>
      </w:r>
      <w:r>
        <w:t xml:space="preserve"> </w:t>
      </w:r>
      <m:oMath>
        <m:r>
          <m:t>1.28</m:t>
        </m:r>
        <m:r>
          <m:t>b</m:t>
        </m:r>
        <m:r>
          <m:t>i</m:t>
        </m:r>
        <m:r>
          <m:t>l</m:t>
        </m:r>
        <m:r>
          <m:t>l</m:t>
        </m:r>
        <m:r>
          <m:t>i</m:t>
        </m:r>
        <m:r>
          <m:t>o</m:t>
        </m:r>
        <m:r>
          <m:t>n</m:t>
        </m:r>
        <m:r>
          <m:rPr>
            <m:sty m:val="p"/>
          </m:rPr>
          <m:t>*</m:t>
        </m:r>
        <m:r>
          <m:rPr>
            <m:sty m:val="p"/>
          </m:rPr>
          <m:t>*</m:t>
        </m:r>
        <m:r>
          <m:t>o</m:t>
        </m:r>
        <m:r>
          <m:t>r</m:t>
        </m:r>
        <m:r>
          <m:t>a</m:t>
        </m:r>
        <m:r>
          <m:t>d</m:t>
        </m:r>
        <m:r>
          <m:t>j</m:t>
        </m:r>
        <m:r>
          <m:t>u</m:t>
        </m:r>
        <m:r>
          <m:t>s</m:t>
        </m:r>
        <m:r>
          <m:t>t</m:t>
        </m:r>
        <m:r>
          <m:t>e</m:t>
        </m:r>
        <m:r>
          <m:t>d</m:t>
        </m:r>
        <m:r>
          <m:t>E</m:t>
        </m:r>
        <m:r>
          <m:t>P</m:t>
        </m:r>
        <m:r>
          <m:t>S</m:t>
        </m:r>
        <m:r>
          <m:t>b</m:t>
        </m:r>
        <m:r>
          <m:t>e</m:t>
        </m:r>
        <m:r>
          <m:t>l</m:t>
        </m:r>
        <m:r>
          <m:t>o</m:t>
        </m:r>
        <m:r>
          <m:t>w</m:t>
        </m:r>
        <m:r>
          <m:rPr>
            <m:sty m:val="p"/>
          </m:rPr>
          <m:t>*</m:t>
        </m:r>
        <m:r>
          <m:rPr>
            <m:sty m:val="p"/>
          </m:rPr>
          <m:t>*</m:t>
        </m:r>
      </m:oMath>
      <w:r>
        <w:rPr>
          <w:b/>
          <w:bCs/>
        </w:rPr>
        <w:t xml:space="preserve">6.45</w:t>
      </w:r>
      <w:r>
        <w:t xml:space="preserve">.</w:t>
      </w:r>
    </w:p>
    <w:p>
      <w:pPr>
        <w:pStyle w:val="Compact"/>
        <w:numPr>
          <w:ilvl w:val="0"/>
          <w:numId w:val="1010"/>
        </w:numPr>
      </w:pPr>
      <w:r>
        <w:t xml:space="preserve">Organic growth at or below the bottom of the 9%–11% range.</w:t>
      </w:r>
    </w:p>
    <w:p>
      <w:pPr>
        <w:pStyle w:val="Compact"/>
        <w:numPr>
          <w:ilvl w:val="0"/>
          <w:numId w:val="1010"/>
        </w:numPr>
      </w:pPr>
      <w:r>
        <w:t xml:space="preserve">Noticeable slowdown in cross-border new sales.</w:t>
      </w:r>
    </w:p>
    <w:p>
      <w:pPr>
        <w:pStyle w:val="Compact"/>
        <w:numPr>
          <w:ilvl w:val="0"/>
          <w:numId w:val="1010"/>
        </w:numPr>
      </w:pPr>
      <w:r>
        <w:t xml:space="preserve">Lodging recovery is delayed.</w:t>
      </w:r>
    </w:p>
    <w:p>
      <w:pPr>
        <w:pStyle w:val="Compact"/>
        <w:numPr>
          <w:ilvl w:val="0"/>
          <w:numId w:val="1010"/>
        </w:numPr>
      </w:pPr>
      <w:r>
        <w:t xml:space="preserve">Credit costs or integration spending pressure margins.</w:t>
      </w:r>
    </w:p>
    <w:p>
      <w:pPr>
        <w:pStyle w:val="Compact"/>
        <w:numPr>
          <w:ilvl w:val="0"/>
          <w:numId w:val="1010"/>
        </w:numPr>
      </w:pPr>
      <w:r>
        <w:t xml:space="preserve">Guidance is maintained only because of buybacks or interest savings rather than stronger operations.</w:t>
      </w:r>
    </w:p>
    <w:bookmarkEnd w:id="30"/>
    <w:bookmarkEnd w:id="31"/>
    <w:bookmarkStart w:id="32" w:name="bottom-line"/>
    <w:p>
      <w:pPr>
        <w:pStyle w:val="Heading2"/>
      </w:pPr>
      <w:r>
        <w:t xml:space="preserve">Bottom line</w:t>
      </w:r>
    </w:p>
    <w:p>
      <w:pPr>
        <w:pStyle w:val="FirstParagraph"/>
      </w:pPr>
      <w:r>
        <w:t xml:space="preserve">The quarter itself should be solid; the debate is whether it is strong enough for the stock’s revised expectations.</w:t>
      </w:r>
    </w:p>
    <w:p>
      <w:pPr>
        <w:pStyle w:val="BodyText"/>
      </w:pPr>
      <w:r>
        <w:t xml:space="preserve">The most constructive result would not merely be an EPS beat. It would combine</w:t>
      </w:r>
      <w:r>
        <w:t xml:space="preserve"> </w:t>
      </w:r>
      <w:r>
        <w:rPr>
          <w:b/>
          <w:bCs/>
        </w:rPr>
        <w:t xml:space="preserve">double-digit organic growth, sustained high-teens Corporate Payments growth, improving Lodging volumes, stable credit costs and a higher full-year outlook</w:t>
      </w:r>
      <w:r>
        <w:t xml:space="preserve">. That combination would reinforce the case that Corpay is successfully transforming from a collection of specialized payment assets into a faster-growing Corporate Payments and cross-border compounder.</w:t>
      </w:r>
    </w:p>
    <w:p>
      <w:pPr>
        <w:pStyle w:val="BodyText"/>
      </w:pPr>
      <w:r>
        <w:t xml:space="preserve">Conversely, a headline beat driven mainly by fuel, FX translation or share repurchases—without strong organic trends—would be less persuasive after the stock’s recent rally.</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investor.corpay.com/news-releases/news-release-details/corpay-completes-refinancing-and-increases-revolving-credit" TargetMode="External" /><Relationship Type="http://schemas.openxmlformats.org/officeDocument/2006/relationships/hyperlink" Id="rId11" Target="https://investor.corpay.com/news-releases/news-release-details/corpay-reports-first-quarter-financial-results-0" TargetMode="External" /><Relationship Type="http://schemas.openxmlformats.org/officeDocument/2006/relationships/hyperlink" Id="rId14" Target="https://investor.corpay.com/static-files/cb04572d-6b33-41ef-939b-6ba78dd48015" TargetMode="External" /><Relationship Type="http://schemas.openxmlformats.org/officeDocument/2006/relationships/hyperlink" Id="rId9" Target="https://www.corpay.com/corporate-newsroom/20301/corpay-to-announce-second-quarter-2026-results-on-august-5-2026?utm_source=openai" TargetMode="External" /><Relationship Type="http://schemas.openxmlformats.org/officeDocument/2006/relationships/hyperlink" Id="rId17" Target="https://www.eia.gov/outlooks/steo/report/summerfuels.php?utm_source=openai" TargetMode="External" /></Relationships>
</file>

<file path=word/_rels/footnotes.xml.rels><?xml version="1.0" encoding="UTF-8"?><Relationships xmlns="http://schemas.openxmlformats.org/package/2006/relationships"><Relationship Type="http://schemas.openxmlformats.org/officeDocument/2006/relationships/hyperlink" Id="rId19" Target="https://investor.corpay.com/news-releases/news-release-details/corpay-completes-refinancing-and-increases-revolving-credit" TargetMode="External" /><Relationship Type="http://schemas.openxmlformats.org/officeDocument/2006/relationships/hyperlink" Id="rId11" Target="https://investor.corpay.com/news-releases/news-release-details/corpay-reports-first-quarter-financial-results-0" TargetMode="External" /><Relationship Type="http://schemas.openxmlformats.org/officeDocument/2006/relationships/hyperlink" Id="rId14" Target="https://investor.corpay.com/static-files/cb04572d-6b33-41ef-939b-6ba78dd48015" TargetMode="External" /><Relationship Type="http://schemas.openxmlformats.org/officeDocument/2006/relationships/hyperlink" Id="rId9" Target="https://www.corpay.com/corporate-newsroom/20301/corpay-to-announce-second-quarter-2026-results-on-august-5-2026?utm_source=openai" TargetMode="External" /><Relationship Type="http://schemas.openxmlformats.org/officeDocument/2006/relationships/hyperlink" Id="rId17" Target="https://www.eia.gov/outlooks/steo/report/summerfuels.php?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2026-08-05T01:16:06Z</dcterms:created>
  <dcterms:modified xsi:type="dcterms:W3CDTF">2026-08-05T01:16:06Z</dcterms:modified>
</cp:coreProperties>
</file>

<file path=docProps/custom.xml><?xml version="1.0" encoding="utf-8"?>
<Properties xmlns="http://schemas.openxmlformats.org/officeDocument/2006/custom-properties" xmlns:vt="http://schemas.openxmlformats.org/officeDocument/2006/docPropsVTypes"/>
</file>