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pay-earnings-predictions--2026-08-05"/>
    <w:p>
      <w:pPr>
        <w:pStyle w:val="Heading1"/>
      </w:pPr>
      <w:r>
        <w:t xml:space="preserve">CPAY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~$6.72 vs. cons $6.58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~$1.31B vs. cons $1.30B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organic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~11.2% vs. cons 10.2%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~$5.35B vs. cons $5.31B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~$27.05 vs. cons $26.85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organic revenue growth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~10.0% vs. cons 10.0%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CPAY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+5.5% (FOLLOW-THROUGH)</w:t>
            </w:r>
          </w:p>
        </w:tc>
        <w:tc>
          <w:tcPr/>
          <w:p>
            <w:pPr>
              <w:pStyle w:val="Compact"/>
            </w:pPr>
            <w:r>
              <w:t xml:space="preserve">A ~$0.14 Q2 EPS beat versus</w:t>
            </w:r>
            <w:r>
              <w:t xml:space="preserve"> </w:t>
            </w:r>
            <m:oMath>
              <m:r>
                <m:t>6.58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p</m:t>
              </m:r>
              <m:r>
                <m:t>l</m:t>
              </m:r>
              <m:r>
                <m:t>u</m:t>
              </m:r>
              <m:r>
                <m:t>s</m:t>
              </m:r>
              <m:r>
                <m:t>a</m:t>
              </m:r>
              <m:r>
                <m:t> </m:t>
              </m:r>
            </m:oMath>
            <w:r>
              <w:t xml:space="preserve">0.20 FY EPS-guide increase versus $26.85 consensus should drive upward out-period estimates; sustaining ~10.0% FY organic growth while raising reported revenue/EPS supports the Corporate Payments durability narrative rather than a purely fuel- or FX-driven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2026-08-05T01:14:27Z</dcterms:created>
  <dcterms:modified xsi:type="dcterms:W3CDTF">2026-08-05T01:14:27Z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