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d7c0f64932ea44d1da78c72439e8df6b1f7ba0"/>
    <w:p>
      <w:pPr>
        <w:pStyle w:val="Heading1"/>
      </w:pPr>
      <w:r>
        <w:t xml:space="preserve">Corpay (NYSE: CPAY) — Q2 2026 Earnings Preview</w:t>
      </w:r>
    </w:p>
    <w:p>
      <w:pPr>
        <w:pStyle w:val="BlockText"/>
      </w:pPr>
      <w:r>
        <w:rPr>
          <w:b/>
          <w:bCs/>
        </w:rPr>
        <w:t xml:space="preserve">Timing clarification:</w:t>
      </w:r>
      <w:r>
        <w:t xml:space="preserve"> </w:t>
      </w:r>
      <w:r>
        <w:t xml:space="preserve">Corpay’s Q2 2026 earnings call is scheduled for</w:t>
      </w:r>
      <w:r>
        <w:t xml:space="preserve"> </w:t>
      </w:r>
      <w:r>
        <w:rPr>
          <w:b/>
          <w:bCs/>
        </w:rPr>
        <w:t xml:space="preserve">today, Wednesday, August 5, 2026, at 5:30 p.m. ET</w:t>
      </w:r>
      <w:r>
        <w:t xml:space="preserve">—not tomorrow. (</w:t>
      </w:r>
      <w:hyperlink r:id="rId9">
        <w:r>
          <w:rPr>
            <w:rStyle w:val="Hyperlink"/>
          </w:rPr>
          <w:t xml:space="preserve">investor.corpay.com</w:t>
        </w:r>
      </w:hyperlink>
      <w:r>
        <w:t xml:space="preserve">)</w:t>
      </w:r>
    </w:p>
    <w:bookmarkStart w:id="11" w:name="the-setup-a-high-bar-after-a-q1-blowout"/>
    <w:p>
      <w:pPr>
        <w:pStyle w:val="Heading2"/>
      </w:pPr>
      <w:r>
        <w:t xml:space="preserve">The setup: a high bar after a Q1 “blowout”</w:t>
      </w:r>
    </w:p>
    <w:p>
      <w:pPr>
        <w:pStyle w:val="FirstParagraph"/>
      </w:pPr>
      <w:r>
        <w:t xml:space="preserve">Corpay enters Q2 with momentum, but also with elevated expectations. In Q1, the company delivered</w:t>
      </w:r>
      <w:r>
        <w:t xml:space="preserve"> </w:t>
      </w:r>
      <w:r>
        <w:rPr>
          <w:b/>
          <w:bCs/>
        </w:rPr>
        <w:t xml:space="preserve">25% reported revenue growth</w:t>
      </w:r>
      <w:r>
        <w:t xml:space="preserve">,</w:t>
      </w:r>
      <w:r>
        <w:t xml:space="preserve"> </w:t>
      </w:r>
      <w:r>
        <w:rPr>
          <w:b/>
          <w:bCs/>
        </w:rPr>
        <w:t xml:space="preserve">11% organic revenue growth</w:t>
      </w:r>
      <w:r>
        <w:t xml:space="preserve">, and</w:t>
      </w:r>
      <w:r>
        <w:t xml:space="preserve"> </w:t>
      </w:r>
      <w:r>
        <w:rPr>
          <w:b/>
          <w:bCs/>
        </w:rPr>
        <w:t xml:space="preserve">29% adjusted EPS growth</w:t>
      </w:r>
      <w:r>
        <w:t xml:space="preserve">, then raised its full-year outlook. Management characterized roughly two-thirds of its Q1 revenue outperformance as fundamental rather than macro-driven—a constructive signal, but one that raises the bar for both the Q2 print and the second-half guide. (</w:t>
      </w:r>
      <w:hyperlink r:id="rId10">
        <w:r>
          <w:rPr>
            <w:rStyle w:val="Hyperlink"/>
          </w:rPr>
          <w:t xml:space="preserve">investor.corpay.com</w:t>
        </w:r>
      </w:hyperlink>
      <w:r>
        <w:t xml:space="preserve">)</w:t>
      </w:r>
    </w:p>
    <w:p>
      <w:pPr>
        <w:pStyle w:val="BodyText"/>
      </w:pPr>
      <w:r>
        <w:t xml:space="preserve">The stock has appreciated roughly</w:t>
      </w:r>
      <w:r>
        <w:t xml:space="preserve"> </w:t>
      </w:r>
      <w:r>
        <w:rPr>
          <w:b/>
          <w:bCs/>
        </w:rPr>
        <w:t xml:space="preserve">30% from the day before Q1 results through August 4</w:t>
      </w:r>
      <w:r>
        <w:t xml:space="preserve">, based on closing-price data, making the market likely to focus less on whether CPAY meets its guide and more on evidence that its high-teens Corporate Payments growth, improving Lodging trajectory, and capital-allocation plan can sustain upside.</w:t>
      </w:r>
    </w:p>
    <w:bookmarkEnd w:id="11"/>
    <w:bookmarkStart w:id="12" w:name="what-corpay-guided-to-for-q2"/>
    <w:p>
      <w:pPr>
        <w:pStyle w:val="Heading2"/>
      </w:pPr>
      <w:r>
        <w:t xml:space="preserve">What Corpay guided to for Q2</w:t>
      </w:r>
    </w:p>
    <w:p>
      <w:pPr>
        <w:pStyle w:val="FirstParagraph"/>
      </w:pPr>
      <w:r>
        <w:t xml:space="preserve">The most important baseline is management’s own May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2026 outlook</w:t>
            </w:r>
          </w:p>
        </w:tc>
        <w:tc>
          <w:tcPr/>
          <w:p>
            <w:pPr>
              <w:pStyle w:val="Compact"/>
              <w:jc w:val="right"/>
            </w:pPr>
            <w:r>
              <w:t xml:space="preserve">Midpoint</w:t>
            </w:r>
          </w:p>
        </w:tc>
        <w:tc>
          <w:tcPr/>
          <w:p>
            <w:pPr>
              <w:pStyle w:val="Compact"/>
              <w:jc w:val="right"/>
            </w:pPr>
            <w:r>
              <w:t xml:space="preserve">Year-over-year growth</w:t>
            </w:r>
          </w:p>
        </w:tc>
      </w:tr>
      <w:tr>
        <w:tc>
          <w:tcPr/>
          <w:p>
            <w:pPr>
              <w:pStyle w:val="Compact"/>
            </w:pPr>
            <w:r>
              <w:t xml:space="preserve">Revenue</w:t>
            </w:r>
          </w:p>
        </w:tc>
        <w:tc>
          <w:tcPr/>
          <w:p>
            <w:pPr>
              <w:pStyle w:val="Compact"/>
              <w:jc w:val="right"/>
            </w:pPr>
            <w:r>
              <w:rPr>
                <w:b/>
                <w:bCs/>
              </w:rPr>
              <w:t xml:space="preserve">$1.295 billion</w:t>
            </w:r>
          </w:p>
        </w:tc>
        <w:tc>
          <w:tcPr/>
          <w:p>
            <w:pPr>
              <w:pStyle w:val="Compact"/>
              <w:jc w:val="right"/>
            </w:pPr>
            <w:r>
              <w:rPr>
                <w:b/>
                <w:bCs/>
              </w:rPr>
              <w:t xml:space="preserve">18%</w:t>
            </w:r>
          </w:p>
        </w:tc>
      </w:tr>
      <w:tr>
        <w:tc>
          <w:tcPr/>
          <w:p>
            <w:pPr>
              <w:pStyle w:val="Compact"/>
            </w:pPr>
            <w:r>
              <w:t xml:space="preserve">Organic revenue growth</w:t>
            </w:r>
          </w:p>
        </w:tc>
        <w:tc>
          <w:tcPr/>
          <w:p>
            <w:pPr>
              <w:pStyle w:val="Compact"/>
              <w:jc w:val="right"/>
            </w:pPr>
            <w:r>
              <w:rPr>
                <w:b/>
                <w:bCs/>
              </w:rPr>
              <w:t xml:space="preserve">9%–11%</w:t>
            </w:r>
          </w:p>
        </w:tc>
        <w:tc>
          <w:tcPr/>
          <w:p>
            <w:pPr>
              <w:pStyle w:val="Compact"/>
              <w:jc w:val="right"/>
            </w:pPr>
            <w:r>
              <w:t xml:space="preserve">—</w:t>
            </w:r>
          </w:p>
        </w:tc>
      </w:tr>
      <w:tr>
        <w:tc>
          <w:tcPr/>
          <w:p>
            <w:pPr>
              <w:pStyle w:val="Compact"/>
            </w:pPr>
            <w:r>
              <w:t xml:space="preserve">Adjusted EPS</w:t>
            </w:r>
          </w:p>
        </w:tc>
        <w:tc>
          <w:tcPr/>
          <w:p>
            <w:pPr>
              <w:pStyle w:val="Compact"/>
              <w:jc w:val="right"/>
            </w:pPr>
            <w:r>
              <w:rPr>
                <w:b/>
                <w:bCs/>
              </w:rPr>
              <w:t xml:space="preserve">$6.55</w:t>
            </w:r>
          </w:p>
        </w:tc>
        <w:tc>
          <w:tcPr/>
          <w:p>
            <w:pPr>
              <w:pStyle w:val="Compact"/>
              <w:jc w:val="right"/>
            </w:pPr>
            <w:r>
              <w:rPr>
                <w:b/>
                <w:bCs/>
              </w:rPr>
              <w:t xml:space="preserve">28%</w:t>
            </w:r>
          </w:p>
        </w:tc>
      </w:tr>
    </w:tbl>
    <w:p>
      <w:pPr>
        <w:pStyle w:val="BodyText"/>
      </w:pPr>
      <w:r>
        <w:t xml:space="preserve">Corpay’s Q2 outlook implies a substantial step-up from Q2 2025, when it reported $1.102 billion in revenue and $5.13 in adjusted EPS. (</w:t>
      </w:r>
      <w:hyperlink r:id="rId10">
        <w:r>
          <w:rPr>
            <w:rStyle w:val="Hyperlink"/>
          </w:rPr>
          <w:t xml:space="preserve">investor.corpay.com</w:t>
        </w:r>
      </w:hyperlink>
      <w:r>
        <w:t xml:space="preserve">)</w:t>
      </w:r>
    </w:p>
    <w:p>
      <w:pPr>
        <w:pStyle w:val="BodyText"/>
      </w:pPr>
      <w:r>
        <w:t xml:space="preserve">For the full year, the company last guided to</w:t>
      </w:r>
      <w:r>
        <w:t xml:space="preserve"> </w:t>
      </w:r>
      <m:oMath>
        <m:r>
          <m:t>5.25</m:t>
        </m:r>
        <m:r>
          <m:rPr>
            <m:sty m:val="p"/>
          </m:rPr>
          <m:t>–</m:t>
        </m:r>
      </m:oMath>
      <w:r>
        <w:rPr>
          <w:b/>
          <w:bCs/>
        </w:rPr>
        <w:t xml:space="preserve">5.33 billion of revenue</w:t>
      </w:r>
      <w:r>
        <w:t xml:space="preserve"> </w:t>
      </w:r>
      <w:r>
        <w:t xml:space="preserve">and</w:t>
      </w:r>
      <w:r>
        <w:t xml:space="preserve"> </w:t>
      </w:r>
      <m:oMath>
        <m:r>
          <m:t>26.30</m:t>
        </m:r>
        <m:r>
          <m:rPr>
            <m:sty m:val="p"/>
          </m:rPr>
          <m:t>–</m:t>
        </m:r>
      </m:oMath>
      <w:r>
        <w:rPr>
          <w:b/>
          <w:bCs/>
        </w:rPr>
        <w:t xml:space="preserve">27.10 of adjusted EPS</w:t>
      </w:r>
      <w:r>
        <w:t xml:space="preserve">, with midpoints of $5.29 billion and $26.70, respectively. (</w:t>
      </w:r>
      <w:hyperlink r:id="rId10">
        <w:r>
          <w:rPr>
            <w:rStyle w:val="Hyperlink"/>
          </w:rPr>
          <w:t xml:space="preserve">investor.corpay.com</w:t>
        </w:r>
      </w:hyperlink>
      <w:r>
        <w:t xml:space="preserve">)</w:t>
      </w:r>
    </w:p>
    <w:bookmarkEnd w:id="12"/>
    <w:bookmarkStart w:id="13" w:name="X5c284ea293be2063c96ebf5111d2c52e0047fd7"/>
    <w:p>
      <w:pPr>
        <w:pStyle w:val="Heading2"/>
      </w:pPr>
      <w:r>
        <w:t xml:space="preserve">The key investor question: is 10% organic growth still durable?</w:t>
      </w:r>
    </w:p>
    <w:p>
      <w:pPr>
        <w:pStyle w:val="FirstParagraph"/>
      </w:pPr>
      <w:r>
        <w:t xml:space="preserve">The core Q2 debate is not reported growth—which benefits from acquisitions, FX, and fuel-price effects—but whether Corpay can maintain approximately</w:t>
      </w:r>
      <w:r>
        <w:t xml:space="preserve"> </w:t>
      </w:r>
      <w:r>
        <w:rPr>
          <w:b/>
          <w:bCs/>
        </w:rPr>
        <w:t xml:space="preserve">10% organic revenue growth</w:t>
      </w:r>
      <w:r>
        <w:t xml:space="preserve"> </w:t>
      </w:r>
      <w:r>
        <w:t xml:space="preserve">while cycling increasingly difficult comparisons.</w:t>
      </w:r>
    </w:p>
    <w:p>
      <w:pPr>
        <w:pStyle w:val="BodyText"/>
      </w:pPr>
      <w:r>
        <w:t xml:space="preserve">Management said Q1’s 11% organic growth was its fourth consecutive quarter at that level. For Q2, it guided to 9%–11% organic growth, while noting that the company faces organic-growth comparisons above 11% for the remaining quarters of 2026. That makes the composition of Q2 growth important:</w:t>
      </w:r>
    </w:p>
    <w:p>
      <w:pPr>
        <w:pStyle w:val="Compact"/>
        <w:numPr>
          <w:ilvl w:val="0"/>
          <w:numId w:val="1001"/>
        </w:numPr>
      </w:pPr>
      <w:r>
        <w:rPr>
          <w:b/>
          <w:bCs/>
        </w:rPr>
        <w:t xml:space="preserve">A result around 10% organic growth</w:t>
      </w:r>
      <w:r>
        <w:t xml:space="preserve"> </w:t>
      </w:r>
      <w:r>
        <w:t xml:space="preserve">would support the full-year framework and validate management’s claim of consistent underlying demand.</w:t>
      </w:r>
    </w:p>
    <w:p>
      <w:pPr>
        <w:pStyle w:val="Compact"/>
        <w:numPr>
          <w:ilvl w:val="0"/>
          <w:numId w:val="1001"/>
        </w:numPr>
      </w:pPr>
      <w:r>
        <w:rPr>
          <w:b/>
          <w:bCs/>
        </w:rPr>
        <w:t xml:space="preserve">Growth above 11%</w:t>
      </w:r>
      <w:r>
        <w:t xml:space="preserve">, particularly if driven by Corporate Payments and not merely fuel or FX, would reopen the case for another upward revision.</w:t>
      </w:r>
    </w:p>
    <w:p>
      <w:pPr>
        <w:pStyle w:val="Compact"/>
        <w:numPr>
          <w:ilvl w:val="0"/>
          <w:numId w:val="1001"/>
        </w:numPr>
      </w:pPr>
      <w:r>
        <w:rPr>
          <w:b/>
          <w:bCs/>
        </w:rPr>
        <w:t xml:space="preserve">Growth below the 9% low end</w:t>
      </w:r>
      <w:r>
        <w:t xml:space="preserve"> </w:t>
      </w:r>
      <w:r>
        <w:t xml:space="preserve">would likely bring scrutiny to the second-half guide, especially because Q1 benefited from a favorable macro backdrop and a lower comparison base.</w:t>
      </w:r>
    </w:p>
    <w:bookmarkEnd w:id="13"/>
    <w:bookmarkStart w:id="18" w:name="what-to-watch-by-segment"/>
    <w:p>
      <w:pPr>
        <w:pStyle w:val="Heading2"/>
      </w:pPr>
      <w:r>
        <w:t xml:space="preserve">What to watch by segment</w:t>
      </w:r>
    </w:p>
    <w:bookmarkStart w:id="15" w:name="X7d8acbfc7817f3728704670a03816909665b682"/>
    <w:p>
      <w:pPr>
        <w:pStyle w:val="Heading3"/>
      </w:pPr>
      <w:r>
        <w:t xml:space="preserve">1. Corporate Payments: the central upside driver</w:t>
      </w:r>
    </w:p>
    <w:p>
      <w:pPr>
        <w:pStyle w:val="FirstParagraph"/>
      </w:pPr>
      <w:r>
        <w:t xml:space="preserve">Corporate Payments is now the investment case. It represented</w:t>
      </w:r>
      <w:r>
        <w:t xml:space="preserve"> </w:t>
      </w:r>
      <w:r>
        <w:rPr>
          <w:b/>
          <w:bCs/>
        </w:rPr>
        <w:t xml:space="preserve">40% of Q1 revenue</w:t>
      </w:r>
      <w:r>
        <w:t xml:space="preserve"> </w:t>
      </w:r>
      <w:r>
        <w:t xml:space="preserve">and produced</w:t>
      </w:r>
      <w:r>
        <w:t xml:space="preserve"> </w:t>
      </w:r>
      <w:r>
        <w:rPr>
          <w:b/>
          <w:bCs/>
        </w:rPr>
        <w:t xml:space="preserve">16% organic growth</w:t>
      </w:r>
      <w:r>
        <w:t xml:space="preserve">, or 18% excluding float-revenue compression. Q1 spend volume rose 43% organically to $82 billion, with both cross-border and payables described as growing in the high teens. (</w:t>
      </w:r>
      <w:hyperlink r:id="rId10">
        <w:r>
          <w:rPr>
            <w:rStyle w:val="Hyperlink"/>
          </w:rPr>
          <w:t xml:space="preserve">investor.corpay.com</w:t>
        </w:r>
      </w:hyperlink>
      <w:r>
        <w:t xml:space="preserve">)</w:t>
      </w:r>
    </w:p>
    <w:p>
      <w:pPr>
        <w:pStyle w:val="BodyText"/>
      </w:pPr>
      <w:r>
        <w:t xml:space="preserve">For Q2, investors should watch:</w:t>
      </w:r>
    </w:p>
    <w:p>
      <w:pPr>
        <w:pStyle w:val="Compact"/>
        <w:numPr>
          <w:ilvl w:val="0"/>
          <w:numId w:val="1002"/>
        </w:numPr>
      </w:pPr>
      <w:r>
        <w:rPr>
          <w:b/>
          <w:bCs/>
        </w:rPr>
        <w:t xml:space="preserve">Cross-border revenue and sales momentum.</w:t>
      </w:r>
      <w:r>
        <w:t xml:space="preserve"> </w:t>
      </w:r>
      <w:r>
        <w:t xml:space="preserve">Management has called cross-border its largest and fastest-growing business, estimating it at about 30% of company revenue in 2026. The business is positioned around payments, FX risk management, and multicurrency accounts for middle-market customers. (</w:t>
      </w:r>
      <w:hyperlink r:id="rId14">
        <w:r>
          <w:rPr>
            <w:rStyle w:val="Hyperlink"/>
          </w:rPr>
          <w:t xml:space="preserve">investor.corpay.com</w:t>
        </w:r>
      </w:hyperlink>
      <w:r>
        <w:t xml:space="preserve">)</w:t>
      </w:r>
    </w:p>
    <w:p>
      <w:pPr>
        <w:pStyle w:val="Compact"/>
        <w:numPr>
          <w:ilvl w:val="0"/>
          <w:numId w:val="1002"/>
        </w:numPr>
      </w:pPr>
      <w:r>
        <w:rPr>
          <w:b/>
          <w:bCs/>
        </w:rPr>
        <w:t xml:space="preserve">Alpha integration.</w:t>
      </w:r>
      <w:r>
        <w:t xml:space="preserve"> </w:t>
      </w:r>
      <w:r>
        <w:t xml:space="preserve">About 15% of Alpha client volume had migrated to Corpay’s platform by Q1, with a larger migration wave planned for Q2. Progress here matters for revenue synergy, platform consolidation, operational efficiency, and the credibility of Corpay’s M&amp;A model.</w:t>
      </w:r>
    </w:p>
    <w:p>
      <w:pPr>
        <w:pStyle w:val="Compact"/>
        <w:numPr>
          <w:ilvl w:val="0"/>
          <w:numId w:val="1002"/>
        </w:numPr>
      </w:pPr>
      <w:r>
        <w:rPr>
          <w:b/>
          <w:bCs/>
        </w:rPr>
        <w:t xml:space="preserve">Payables and European spend-management expansion.</w:t>
      </w:r>
      <w:r>
        <w:t xml:space="preserve"> </w:t>
      </w:r>
      <w:r>
        <w:t xml:space="preserve">The company has begun scaling spend management in Europe and continues to emphasize moving upmarket in the U.S.</w:t>
      </w:r>
    </w:p>
    <w:p>
      <w:pPr>
        <w:pStyle w:val="Compact"/>
        <w:numPr>
          <w:ilvl w:val="0"/>
          <w:numId w:val="1002"/>
        </w:numPr>
      </w:pPr>
      <w:r>
        <w:rPr>
          <w:b/>
          <w:bCs/>
        </w:rPr>
        <w:t xml:space="preserve">Yield versus volume.</w:t>
      </w:r>
      <w:r>
        <w:t xml:space="preserve"> </w:t>
      </w:r>
      <w:r>
        <w:t xml:space="preserve">Corporate Payments’ revenue per dollar of spend declined in Q1 because of client mix, including larger enterprise accounts. Investors should favor continued healthy volume growth, but will want reassurance that lower-yield enterprise volume is not diluting the earnings algorithm disproportionately.</w:t>
      </w:r>
    </w:p>
    <w:p>
      <w:pPr>
        <w:pStyle w:val="FirstParagraph"/>
      </w:pPr>
      <w:r>
        <w:t xml:space="preserve">The strategic issue is whether Corpay can keep converting its cross-border opportunity into durable growth. Management has described a $161 billion middle-market revenue opportunity in cross-border, versus less than 1% current market share; that should be interpreted as a long-run opportunity rather than a near-term revenue forecast. (</w:t>
      </w:r>
      <w:hyperlink r:id="rId14">
        <w:r>
          <w:rPr>
            <w:rStyle w:val="Hyperlink"/>
          </w:rPr>
          <w:t xml:space="preserve">investor.corpay.com</w:t>
        </w:r>
      </w:hyperlink>
      <w:r>
        <w:t xml:space="preserve">)</w:t>
      </w:r>
    </w:p>
    <w:bookmarkEnd w:id="15"/>
    <w:bookmarkStart w:id="16" w:name="X35579cf80c8c6a577a0eaf2fba54b587d6af390"/>
    <w:p>
      <w:pPr>
        <w:pStyle w:val="Heading3"/>
      </w:pPr>
      <w:r>
        <w:t xml:space="preserve">2. Vehicle Payments: fuel, transactions, and the middle-market sales pivot</w:t>
      </w:r>
    </w:p>
    <w:p>
      <w:pPr>
        <w:pStyle w:val="FirstParagraph"/>
      </w:pPr>
      <w:r>
        <w:t xml:space="preserve">Vehicle Payments generated</w:t>
      </w:r>
      <w:r>
        <w:t xml:space="preserve"> </w:t>
      </w:r>
      <w:r>
        <w:rPr>
          <w:b/>
          <w:bCs/>
        </w:rPr>
        <w:t xml:space="preserve">10% organic growth</w:t>
      </w:r>
      <w:r>
        <w:t xml:space="preserve"> </w:t>
      </w:r>
      <w:r>
        <w:t xml:space="preserve">in Q1, aided partly by higher fuel prices. The segment remains large—45% of Q1 revenue—but its fundamental growth outlook depends increasingly on sales execution rather than macro tailwinds. (</w:t>
      </w:r>
      <w:hyperlink r:id="rId10">
        <w:r>
          <w:rPr>
            <w:rStyle w:val="Hyperlink"/>
          </w:rPr>
          <w:t xml:space="preserve">investor.corpay.com</w:t>
        </w:r>
      </w:hyperlink>
      <w:r>
        <w:t xml:space="preserve">)</w:t>
      </w:r>
    </w:p>
    <w:p>
      <w:pPr>
        <w:pStyle w:val="BodyText"/>
      </w:pPr>
      <w:r>
        <w:t xml:space="preserve">Key datapoints:</w:t>
      </w:r>
    </w:p>
    <w:p>
      <w:pPr>
        <w:pStyle w:val="Compact"/>
        <w:numPr>
          <w:ilvl w:val="0"/>
          <w:numId w:val="1003"/>
        </w:numPr>
      </w:pPr>
      <w:r>
        <w:rPr>
          <w:b/>
          <w:bCs/>
        </w:rPr>
        <w:t xml:space="preserve">U.S. fleet same-store sales and transaction growth.</w:t>
      </w:r>
      <w:r>
        <w:t xml:space="preserve"> </w:t>
      </w:r>
      <w:r>
        <w:t xml:space="preserve">Management said U.S. fleet same-store sales turned modestly positive in Q1, but it also made clear that the medium-term opportunity hinges on winning more middle-market customers.</w:t>
      </w:r>
    </w:p>
    <w:p>
      <w:pPr>
        <w:pStyle w:val="Compact"/>
        <w:numPr>
          <w:ilvl w:val="0"/>
          <w:numId w:val="1003"/>
        </w:numPr>
      </w:pPr>
      <w:r>
        <w:rPr>
          <w:b/>
          <w:bCs/>
        </w:rPr>
        <w:t xml:space="preserve">Fuel-price and fuel-spread effects.</w:t>
      </w:r>
      <w:r>
        <w:t xml:space="preserve"> </w:t>
      </w:r>
      <w:r>
        <w:t xml:space="preserve">Corpay’s full-year guide assumed average U.S. fuel prices of $4.17 per gallon and flat fuel spreads relative to 2025. Any material change in those inputs can move reported revenue, so investors should distinguish macro assistance from underlying transaction and customer growth. (</w:t>
      </w:r>
      <w:hyperlink r:id="rId10">
        <w:r>
          <w:rPr>
            <w:rStyle w:val="Hyperlink"/>
          </w:rPr>
          <w:t xml:space="preserve">investor.corpay.com</w:t>
        </w:r>
      </w:hyperlink>
      <w:r>
        <w:t xml:space="preserve">)</w:t>
      </w:r>
    </w:p>
    <w:p>
      <w:pPr>
        <w:pStyle w:val="Compact"/>
        <w:numPr>
          <w:ilvl w:val="0"/>
          <w:numId w:val="1003"/>
        </w:numPr>
      </w:pPr>
      <w:r>
        <w:rPr>
          <w:b/>
          <w:bCs/>
        </w:rPr>
        <w:t xml:space="preserve">Brazil and Europe.</w:t>
      </w:r>
      <w:r>
        <w:t xml:space="preserve"> </w:t>
      </w:r>
      <w:r>
        <w:t xml:space="preserve">Brazil has been a meaningful growth contributor, while European vehicle payments have been relatively steady. Confirmation of broad-based geographic growth would be constructive.</w:t>
      </w:r>
    </w:p>
    <w:bookmarkEnd w:id="16"/>
    <w:bookmarkStart w:id="17" w:name="X833d03ee63c9c122133921df3122bc1b86daecb"/>
    <w:p>
      <w:pPr>
        <w:pStyle w:val="Heading3"/>
      </w:pPr>
      <w:r>
        <w:t xml:space="preserve">3. Lodging: improving, but still a prove-it story</w:t>
      </w:r>
    </w:p>
    <w:p>
      <w:pPr>
        <w:pStyle w:val="FirstParagraph"/>
      </w:pPr>
      <w:r>
        <w:t xml:space="preserve">Lodging was roughly flat organically in Q1, a notable improvement from prior weakness. Room nights were still down 25% year over year, but revenue per room night rose 32%, and management pointed to a 6% same-store-sales figure in Q1. (</w:t>
      </w:r>
      <w:hyperlink r:id="rId10">
        <w:r>
          <w:rPr>
            <w:rStyle w:val="Hyperlink"/>
          </w:rPr>
          <w:t xml:space="preserve">investor.corpay.com</w:t>
        </w:r>
      </w:hyperlink>
      <w:r>
        <w:t xml:space="preserve">)</w:t>
      </w:r>
    </w:p>
    <w:p>
      <w:pPr>
        <w:pStyle w:val="BodyText"/>
      </w:pPr>
      <w:r>
        <w:t xml:space="preserve">Management expects Lodging to turn to mid- to high-single-digit organic growth in the second half. Q2 therefore matters less as a standalone earnings contributor and more as an early read on whether that acceleration is genuinely on track. A continued sequential improvement would remove a lingering drag from the consolidated organic-growth profile.</w:t>
      </w:r>
    </w:p>
    <w:bookmarkEnd w:id="17"/>
    <w:bookmarkEnd w:id="18"/>
    <w:bookmarkStart w:id="19" w:name="X64ef09ed2f9bbefa20c56da2d4518fac989840e"/>
    <w:p>
      <w:pPr>
        <w:pStyle w:val="Heading2"/>
      </w:pPr>
      <w:r>
        <w:t xml:space="preserve">Margins, buybacks, and the earnings conversion story</w:t>
      </w:r>
    </w:p>
    <w:p>
      <w:pPr>
        <w:pStyle w:val="FirstParagraph"/>
      </w:pPr>
      <w:r>
        <w:t xml:space="preserve">Corpay’s appeal is its ability to turn revenue growth into faster EPS growth. In Q1, adjusted EBITDA increased 24% and adjusted EPS rose 29%, despite adjusted EBITDA margin declining modestly to 54.6%, partly reflecting acquisitions. (</w:t>
      </w:r>
      <w:hyperlink r:id="rId10">
        <w:r>
          <w:rPr>
            <w:rStyle w:val="Hyperlink"/>
          </w:rPr>
          <w:t xml:space="preserve">investor.corpay.com</w:t>
        </w:r>
      </w:hyperlink>
      <w:r>
        <w:t xml:space="preserve">)</w:t>
      </w:r>
    </w:p>
    <w:p>
      <w:pPr>
        <w:pStyle w:val="BodyText"/>
      </w:pPr>
      <w:r>
        <w:t xml:space="preserve">For Q2, the focus should be on:</w:t>
      </w:r>
    </w:p>
    <w:p>
      <w:pPr>
        <w:pStyle w:val="Compact"/>
        <w:numPr>
          <w:ilvl w:val="0"/>
          <w:numId w:val="1004"/>
        </w:numPr>
      </w:pPr>
      <w:r>
        <w:rPr>
          <w:b/>
          <w:bCs/>
        </w:rPr>
        <w:t xml:space="preserve">Incremental margins on revenue upside.</w:t>
      </w:r>
      <w:r>
        <w:t xml:space="preserve"> </w:t>
      </w:r>
      <w:r>
        <w:t xml:space="preserve">Q1 produced better-than-expected flow-through. Repeating that result would strengthen confidence in the 15%-plus long-term earnings-growth framework.</w:t>
      </w:r>
    </w:p>
    <w:p>
      <w:pPr>
        <w:pStyle w:val="Compact"/>
        <w:numPr>
          <w:ilvl w:val="0"/>
          <w:numId w:val="1004"/>
        </w:numPr>
      </w:pPr>
      <w:r>
        <w:rPr>
          <w:b/>
          <w:bCs/>
        </w:rPr>
        <w:t xml:space="preserve">Interest expense.</w:t>
      </w:r>
      <w:r>
        <w:t xml:space="preserve"> </w:t>
      </w:r>
      <w:r>
        <w:t xml:space="preserve">Q1 net interest expense was $110.1 million. Management had expected its refinancing to reduce interest expense, but said that prospective benefit was not reflected in guidance at the time of the Q1 call.</w:t>
      </w:r>
    </w:p>
    <w:p>
      <w:pPr>
        <w:pStyle w:val="Compact"/>
        <w:numPr>
          <w:ilvl w:val="0"/>
          <w:numId w:val="1004"/>
        </w:numPr>
      </w:pPr>
      <w:r>
        <w:rPr>
          <w:b/>
          <w:bCs/>
        </w:rPr>
        <w:t xml:space="preserve">Share repurchases.</w:t>
      </w:r>
      <w:r>
        <w:t xml:space="preserve"> </w:t>
      </w:r>
      <w:r>
        <w:t xml:space="preserve">Corpay repurchased</w:t>
      </w:r>
      <w:r>
        <w:t xml:space="preserve"> </w:t>
      </w:r>
      <w:r>
        <w:rPr>
          <w:b/>
          <w:bCs/>
        </w:rPr>
        <w:t xml:space="preserve">2.4 million shares for</w:t>
      </w:r>
      <w:r>
        <w:rPr>
          <w:b/>
          <w:bCs/>
        </w:rPr>
        <w:t xml:space="preserve"> </w:t>
      </w:r>
      <m:oMath>
        <m:r>
          <m:t>786</m:t>
        </m:r>
        <m:r>
          <m:t>m</m:t>
        </m:r>
        <m:r>
          <m:t>i</m:t>
        </m:r>
        <m:r>
          <m:t>l</m:t>
        </m:r>
        <m:r>
          <m:t>l</m:t>
        </m:r>
        <m:r>
          <m:t>i</m:t>
        </m:r>
        <m:r>
          <m:t>o</m:t>
        </m:r>
        <m:r>
          <m:t>n</m:t>
        </m:r>
        <m:r>
          <m:rPr>
            <m:sty m:val="p"/>
          </m:rPr>
          <m:t>*</m:t>
        </m:r>
        <m:r>
          <m:rPr>
            <m:sty m:val="p"/>
          </m:rPr>
          <m:t>*</m:t>
        </m:r>
        <m:r>
          <m:t>i</m:t>
        </m:r>
        <m:r>
          <m:t>n</m:t>
        </m:r>
        <m:r>
          <m:t>Q</m:t>
        </m:r>
        <m:r>
          <m:t>1</m:t>
        </m:r>
        <m:r>
          <m:t>a</m:t>
        </m:r>
        <m:r>
          <m:t>n</m:t>
        </m:r>
        <m:r>
          <m:t>d</m:t>
        </m:r>
        <m:r>
          <m:t>e</m:t>
        </m:r>
        <m:r>
          <m:t>n</m:t>
        </m:r>
        <m:r>
          <m:t>d</m:t>
        </m:r>
        <m:r>
          <m:t>e</m:t>
        </m:r>
        <m:r>
          <m:t>d</m:t>
        </m:r>
        <m:r>
          <m:t>t</m:t>
        </m:r>
        <m:r>
          <m:t>h</m:t>
        </m:r>
        <m:r>
          <m:t>e</m:t>
        </m:r>
        <m:r>
          <m:t>q</m:t>
        </m:r>
        <m:r>
          <m:t>u</m:t>
        </m:r>
        <m:r>
          <m:t>a</m:t>
        </m:r>
        <m:r>
          <m:t>r</m:t>
        </m:r>
        <m:r>
          <m:t>t</m:t>
        </m:r>
        <m:r>
          <m:t>e</m:t>
        </m:r>
        <m:r>
          <m:t>r</m:t>
        </m:r>
        <m:r>
          <m:t>w</m:t>
        </m:r>
        <m:r>
          <m:t>i</m:t>
        </m:r>
        <m:r>
          <m:t>t</m:t>
        </m:r>
        <m:r>
          <m:t>h</m:t>
        </m:r>
        <m:r>
          <m:rPr>
            <m:sty m:val="p"/>
          </m:rPr>
          <m:t>*</m:t>
        </m:r>
        <m:r>
          <m:rPr>
            <m:sty m:val="p"/>
          </m:rPr>
          <m:t>*</m:t>
        </m:r>
      </m:oMath>
      <w:r>
        <w:rPr>
          <w:b/>
          <w:bCs/>
        </w:rPr>
        <w:t xml:space="preserve">1.8 billion</w:t>
      </w:r>
      <w:r>
        <w:t xml:space="preserve"> </w:t>
      </w:r>
      <w:r>
        <w:t xml:space="preserve">of authorization remaining. The company is clearly using buybacks as an important EPS lever, so investors should watch repurchase pace, leverage, and whether management continues to characterize the stock as attractive relative to M&amp;A. (</w:t>
      </w:r>
      <w:hyperlink r:id="rId10">
        <w:r>
          <w:rPr>
            <w:rStyle w:val="Hyperlink"/>
          </w:rPr>
          <w:t xml:space="preserve">investor.corpay.com</w:t>
        </w:r>
      </w:hyperlink>
      <w:r>
        <w:t xml:space="preserve">)</w:t>
      </w:r>
    </w:p>
    <w:bookmarkEnd w:id="19"/>
    <w:bookmarkStart w:id="23" w:name="Xe8609b7e2151b5cfab40fdb041f7a6c918e8fd4"/>
    <w:p>
      <w:pPr>
        <w:pStyle w:val="Heading2"/>
      </w:pPr>
      <w:r>
        <w:t xml:space="preserve">Guidance: likely the largest share-price driver</w:t>
      </w:r>
    </w:p>
    <w:p>
      <w:pPr>
        <w:pStyle w:val="FirstParagraph"/>
      </w:pPr>
      <w:r>
        <w:t xml:space="preserve">A simple beat without a full-year revision may not be enough after the Q1 strength and subsequent stock performance.</w:t>
      </w:r>
    </w:p>
    <w:bookmarkStart w:id="20" w:name="a-bullish-outcome-would-include"/>
    <w:p>
      <w:pPr>
        <w:pStyle w:val="Heading3"/>
      </w:pPr>
      <w:r>
        <w:t xml:space="preserve">A bullish outcome would include:</w:t>
      </w:r>
    </w:p>
    <w:p>
      <w:pPr>
        <w:pStyle w:val="Compact"/>
        <w:numPr>
          <w:ilvl w:val="0"/>
          <w:numId w:val="1005"/>
        </w:numPr>
      </w:pPr>
      <w:r>
        <w:t xml:space="preserve">Revenue and adjusted EPS above the Q2 midpoint;</w:t>
      </w:r>
    </w:p>
    <w:p>
      <w:pPr>
        <w:pStyle w:val="Compact"/>
        <w:numPr>
          <w:ilvl w:val="0"/>
          <w:numId w:val="1005"/>
        </w:numPr>
      </w:pPr>
      <w:r>
        <w:t xml:space="preserve">Organic growth at or above 11%;</w:t>
      </w:r>
    </w:p>
    <w:p>
      <w:pPr>
        <w:pStyle w:val="Compact"/>
        <w:numPr>
          <w:ilvl w:val="0"/>
          <w:numId w:val="1005"/>
        </w:numPr>
      </w:pPr>
      <w:r>
        <w:t xml:space="preserve">Continued high-teens Corporate Payments growth;</w:t>
      </w:r>
    </w:p>
    <w:p>
      <w:pPr>
        <w:pStyle w:val="Compact"/>
        <w:numPr>
          <w:ilvl w:val="0"/>
          <w:numId w:val="1005"/>
        </w:numPr>
      </w:pPr>
      <w:r>
        <w:t xml:space="preserve">Evidence that Alpha migration and cross-border sales are progressing cleanly;</w:t>
      </w:r>
    </w:p>
    <w:p>
      <w:pPr>
        <w:pStyle w:val="Compact"/>
        <w:numPr>
          <w:ilvl w:val="0"/>
          <w:numId w:val="1005"/>
        </w:numPr>
      </w:pPr>
      <w:r>
        <w:t xml:space="preserve">A higher full-year revenue and/or adjusted-EPS range, or at minimum unusually strong confidence in the current range.</w:t>
      </w:r>
    </w:p>
    <w:bookmarkEnd w:id="20"/>
    <w:bookmarkStart w:id="21" w:name="a-satisfactory-outcome-would-include"/>
    <w:p>
      <w:pPr>
        <w:pStyle w:val="Heading3"/>
      </w:pPr>
      <w:r>
        <w:t xml:space="preserve">A satisfactory outcome would include:</w:t>
      </w:r>
    </w:p>
    <w:p>
      <w:pPr>
        <w:pStyle w:val="Compact"/>
        <w:numPr>
          <w:ilvl w:val="0"/>
          <w:numId w:val="1006"/>
        </w:numPr>
      </w:pPr>
      <w:r>
        <w:t xml:space="preserve">Results near or modestly ahead of the $1.295 billion / $6.55 guide;</w:t>
      </w:r>
    </w:p>
    <w:p>
      <w:pPr>
        <w:pStyle w:val="Compact"/>
        <w:numPr>
          <w:ilvl w:val="0"/>
          <w:numId w:val="1006"/>
        </w:numPr>
      </w:pPr>
      <w:r>
        <w:t xml:space="preserve">Organic growth near 10%;</w:t>
      </w:r>
    </w:p>
    <w:p>
      <w:pPr>
        <w:pStyle w:val="Compact"/>
        <w:numPr>
          <w:ilvl w:val="0"/>
          <w:numId w:val="1006"/>
        </w:numPr>
      </w:pPr>
      <w:r>
        <w:t xml:space="preserve">Reiteration of full-year guidance;</w:t>
      </w:r>
    </w:p>
    <w:p>
      <w:pPr>
        <w:pStyle w:val="Compact"/>
        <w:numPr>
          <w:ilvl w:val="0"/>
          <w:numId w:val="1006"/>
        </w:numPr>
      </w:pPr>
      <w:r>
        <w:t xml:space="preserve">Continued sequential improvement in Lodging and steady Vehicle Payments trends.</w:t>
      </w:r>
    </w:p>
    <w:bookmarkEnd w:id="21"/>
    <w:bookmarkStart w:id="22" w:name="a-disappointing-outcome-would-include"/>
    <w:p>
      <w:pPr>
        <w:pStyle w:val="Heading3"/>
      </w:pPr>
      <w:r>
        <w:t xml:space="preserve">A disappointing outcome would include:</w:t>
      </w:r>
    </w:p>
    <w:p>
      <w:pPr>
        <w:pStyle w:val="Compact"/>
        <w:numPr>
          <w:ilvl w:val="0"/>
          <w:numId w:val="1007"/>
        </w:numPr>
      </w:pPr>
      <w:r>
        <w:t xml:space="preserve">Organic growth below the guided range;</w:t>
      </w:r>
    </w:p>
    <w:p>
      <w:pPr>
        <w:pStyle w:val="Compact"/>
        <w:numPr>
          <w:ilvl w:val="0"/>
          <w:numId w:val="1007"/>
        </w:numPr>
      </w:pPr>
      <w:r>
        <w:t xml:space="preserve">A beat largely attributable to fuel prices, FX, or other macro items;</w:t>
      </w:r>
    </w:p>
    <w:p>
      <w:pPr>
        <w:pStyle w:val="Compact"/>
        <w:numPr>
          <w:ilvl w:val="0"/>
          <w:numId w:val="1007"/>
        </w:numPr>
      </w:pPr>
      <w:r>
        <w:t xml:space="preserve">Slower cross-border growth, weaker Corporate Payments yield, or integration friction;</w:t>
      </w:r>
    </w:p>
    <w:p>
      <w:pPr>
        <w:pStyle w:val="Compact"/>
        <w:numPr>
          <w:ilvl w:val="0"/>
          <w:numId w:val="1007"/>
        </w:numPr>
      </w:pPr>
      <w:r>
        <w:t xml:space="preserve">Any reduction in the full-year outlook, particularly given management’s strong Q1 commentary.</w:t>
      </w:r>
    </w:p>
    <w:bookmarkEnd w:id="22"/>
    <w:bookmarkEnd w:id="23"/>
    <w:bookmarkStart w:id="24" w:name="bottom-line"/>
    <w:p>
      <w:pPr>
        <w:pStyle w:val="Heading2"/>
      </w:pPr>
      <w:r>
        <w:t xml:space="preserve">Bottom line</w:t>
      </w:r>
    </w:p>
    <w:p>
      <w:pPr>
        <w:pStyle w:val="FirstParagraph"/>
      </w:pPr>
      <w:r>
        <w:t xml:space="preserve">CPAY’s Q2 report is chiefly a test of</w:t>
      </w:r>
      <w:r>
        <w:t xml:space="preserve"> </w:t>
      </w:r>
      <w:r>
        <w:rPr>
          <w:b/>
          <w:bCs/>
        </w:rPr>
        <w:t xml:space="preserve">quality and durability</w:t>
      </w:r>
      <w:r>
        <w:t xml:space="preserve">, not simply magnitude. The company has already established a favorable near-term earnings setup through strong Q1 execution, raised guidance, buybacks, and acquisition-related growth. The next leg of the thesis depends on showing that Corporate Payments—especially cross-border—can sustain high-teens growth, that Lodging can move from stabilization to growth, and that the company can preserve its strong EPS conversion as it invests and integrates acquisitions.</w:t>
      </w:r>
    </w:p>
    <w:p>
      <w:pPr>
        <w:pStyle w:val="BodyText"/>
      </w:pPr>
      <w:r>
        <w:rPr>
          <w:b/>
          <w:bCs/>
        </w:rPr>
        <w:t xml:space="preserve">Most important watch item:</w:t>
      </w:r>
      <w:r>
        <w:t xml:space="preserve"> </w:t>
      </w:r>
      <w:r>
        <w:t xml:space="preserve">organic growth composition. If Corpay can deliver at least the high end of its 9%–11% Q2 organic-growth outlook with Corporate Payments leading and management raises or de-risks the full-year outlook, the report should reinforce the premium-growth narrative.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corpay.com/news-releases/news-release-details/corpay-reports-first-quarter-financial-results-0?utm_source=openai" TargetMode="External" /><Relationship Type="http://schemas.openxmlformats.org/officeDocument/2006/relationships/hyperlink" Id="rId9" Target="https://investor.corpay.com/outreach/event-calendar/?utm_source=openai" TargetMode="External" /><Relationship Type="http://schemas.openxmlformats.org/officeDocument/2006/relationships/hyperlink" Id="rId14" Target="https://investor.corpay.com/static-files/3e8c0c66-18ad-4fa5-a93f-bb5eba4a9075?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corpay.com/news-releases/news-release-details/corpay-reports-first-quarter-financial-results-0?utm_source=openai" TargetMode="External" /><Relationship Type="http://schemas.openxmlformats.org/officeDocument/2006/relationships/hyperlink" Id="rId9" Target="https://investor.corpay.com/outreach/event-calendar/?utm_source=openai" TargetMode="External" /><Relationship Type="http://schemas.openxmlformats.org/officeDocument/2006/relationships/hyperlink" Id="rId14" Target="https://investor.corpay.com/static-files/3e8c0c66-18ad-4fa5-a93f-bb5eba4a9075?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2026-08-05T01:14:26Z</dcterms:created>
  <dcterms:modified xsi:type="dcterms:W3CDTF">2026-08-05T01:14:26Z</dcterms:modified>
</cp:coreProperties>
</file>

<file path=docProps/custom.xml><?xml version="1.0" encoding="utf-8"?>
<Properties xmlns="http://schemas.openxmlformats.org/officeDocument/2006/custom-properties" xmlns:vt="http://schemas.openxmlformats.org/officeDocument/2006/docPropsVTypes"/>
</file>