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pBdr>
          <w:bottom w:val="single" w:sz="4" w:space="1" w:color="FB9120"/>
        </w:pBdr>
      </w:pPr>
      <w:r>
        <w:rPr>
          <w:rFonts w:ascii="Calibri" w:hAnsi="Calibri"/>
          <w:b/>
          <w:color w:val="3B4259"/>
          <w:sz w:val="40"/>
        </w:rPr>
        <w:t>Corpay, Inc. (CPAY) — Q2 2026 Earnings Preview</w:t>
      </w:r>
    </w:p>
    <w:p>
      <w:r>
        <w:rPr>
          <w:rFonts w:ascii="Calibri" w:hAnsi="Calibri"/>
          <w:b/>
          <w:color w:val="525866"/>
          <w:sz w:val="22"/>
        </w:rPr>
        <w:t xml:space="preserve">Ticker: </w:t>
      </w:r>
      <w:r>
        <w:rPr>
          <w:rFonts w:ascii="Calibri" w:hAnsi="Calibri"/>
          <w:color w:val="525866"/>
          <w:sz w:val="22"/>
        </w:rPr>
        <w:t xml:space="preserve">CPAY  </w:t>
      </w:r>
      <w:r>
        <w:rPr>
          <w:rFonts w:ascii="Calibri" w:hAnsi="Calibri"/>
          <w:b/>
          <w:color w:val="525866"/>
          <w:sz w:val="22"/>
        </w:rPr>
        <w:t xml:space="preserve">Upcoming Earnings: </w:t>
      </w:r>
      <w:r>
        <w:rPr>
          <w:rFonts w:ascii="Calibri" w:hAnsi="Calibri"/>
          <w:color w:val="525866"/>
          <w:sz w:val="22"/>
        </w:rPr>
        <w:t xml:space="preserve">August 5, 2026 (Q2 2026)  </w:t>
      </w:r>
      <w:r>
        <w:rPr>
          <w:rFonts w:ascii="Calibri" w:hAnsi="Calibri"/>
          <w:b/>
          <w:color w:val="525866"/>
          <w:sz w:val="22"/>
        </w:rPr>
        <w:t xml:space="preserve">Prepared: </w:t>
      </w:r>
      <w:r>
        <w:rPr>
          <w:rFonts w:ascii="Calibri" w:hAnsi="Calibri"/>
          <w:color w:val="525866"/>
          <w:sz w:val="22"/>
        </w:rPr>
        <w:t>August 4, 2026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Earnings Preview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Setup leans toward a beat — consensus sits at the low end of guidance, the macro backdrop (higher fuel prices, FX volatility) has been a tailwind all quarter, and the </w:t>
      </w:r>
      <w:r>
        <w:rPr>
          <w:rFonts w:ascii="Calibri" w:hAnsi="Calibri"/>
          <w:b/>
          <w:color w:val="525866"/>
          <w:sz w:val="22"/>
        </w:rPr>
        <w:t>Alpha platform migration completing in July/August</w:t>
      </w:r>
      <w:r>
        <w:rPr>
          <w:rFonts w:ascii="Calibri" w:hAnsi="Calibri"/>
          <w:color w:val="525866"/>
          <w:sz w:val="22"/>
        </w:rPr>
        <w:t xml:space="preserve"> is the key wildcard for corporate payments acceleration.</w:t>
      </w:r>
    </w:p>
    <w:p>
      <w:r>
        <w:rPr>
          <w:rFonts w:ascii="Calibri" w:hAnsi="Calibri"/>
          <w:color w:val="525866"/>
          <w:sz w:val="22"/>
        </w:rPr>
        <w:t xml:space="preserve">CPAY heads into Q2 2026 earnings with a </w:t>
      </w:r>
      <w:r>
        <w:rPr>
          <w:rFonts w:ascii="Calibri" w:hAnsi="Calibri"/>
          <w:b/>
          <w:color w:val="525866"/>
          <w:sz w:val="22"/>
        </w:rPr>
        <w:t>low bar</w:t>
      </w:r>
      <w:r>
        <w:rPr>
          <w:rFonts w:ascii="Calibri" w:hAnsi="Calibri"/>
          <w:color w:val="525866"/>
          <w:sz w:val="22"/>
        </w:rPr>
        <w:t xml:space="preserve"> — consensus EPS of $6.60 sits near the bottom of the $6.30–$6.80 guidance range, and the company has beaten on both revenue and EPS in each of the last four quarters. The </w:t>
      </w:r>
      <w:r>
        <w:rPr>
          <w:rFonts w:ascii="Calibri" w:hAnsi="Calibri"/>
          <w:b/>
          <w:color w:val="525866"/>
          <w:sz w:val="22"/>
        </w:rPr>
        <w:t>macro backdrop has been constructive</w:t>
      </w:r>
      <w:r>
        <w:rPr>
          <w:rFonts w:ascii="Calibri" w:hAnsi="Calibri"/>
          <w:color w:val="525866"/>
          <w:sz w:val="22"/>
        </w:rPr>
        <w:t xml:space="preserve">: fuel prices remained elevated through Q2 (a tailwind for Vehicle Payments), FX volatility was elevated (a tailwind for cross-border), and the weaker USD benefited international revenue translation. </w:t>
      </w:r>
      <w:r>
        <w:rPr>
          <w:rFonts w:ascii="Calibri" w:hAnsi="Calibri"/>
          <w:b/>
          <w:color w:val="525866"/>
          <w:sz w:val="22"/>
        </w:rPr>
        <w:t>Corporate Payments</w:t>
      </w:r>
      <w:r>
        <w:rPr>
          <w:rFonts w:ascii="Calibri" w:hAnsi="Calibri"/>
          <w:color w:val="525866"/>
          <w:sz w:val="22"/>
        </w:rPr>
        <w:t xml:space="preserve">, now 40%+ of revenue, is the key swing factor — the Alpha platform migration was targeted for completion in July/August, which should unlock cost synergies and geographic revenue expansion in the back half. </w:t>
      </w:r>
      <w:r>
        <w:rPr>
          <w:rFonts w:ascii="Calibri" w:hAnsi="Calibri"/>
          <w:b/>
          <w:color w:val="525866"/>
          <w:sz w:val="22"/>
        </w:rPr>
        <w:t>Lodging</w:t>
      </w:r>
      <w:r>
        <w:rPr>
          <w:rFonts w:ascii="Calibri" w:hAnsi="Calibri"/>
          <w:color w:val="525866"/>
          <w:sz w:val="22"/>
        </w:rPr>
        <w:t xml:space="preserve"> is the one segment to watch for upside surprise, given Q1 same-store sales turned positive for the first time in many quarters and management guided to mid-to-high single digit H2 growth. The stock has already re-rated </w:t>
      </w:r>
      <w:r>
        <w:rPr>
          <w:rFonts w:ascii="Calibri" w:hAnsi="Calibri"/>
          <w:b/>
          <w:color w:val="525866"/>
          <w:sz w:val="22"/>
        </w:rPr>
        <w:t>+30% since Q1 earnings</w:t>
      </w:r>
      <w:r>
        <w:rPr>
          <w:rFonts w:ascii="Calibri" w:hAnsi="Calibri"/>
          <w:color w:val="525866"/>
          <w:sz w:val="22"/>
        </w:rPr>
        <w:t>, so the bar for a positive reaction is higher — a guidance raise and Corporate Payments organic growth above 15% are likely needed to sustain momentum.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KPIs &amp; Consensus Expectations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Consensus sits at the low end of guidance on both revenue and EPS, suggesting a </w:t>
      </w:r>
      <w:r>
        <w:rPr>
          <w:rFonts w:ascii="Calibri" w:hAnsi="Calibri"/>
          <w:b/>
          <w:color w:val="525866"/>
          <w:sz w:val="22"/>
        </w:rPr>
        <w:t>low bar</w:t>
      </w:r>
      <w:r>
        <w:rPr>
          <w:rFonts w:ascii="Calibri" w:hAnsi="Calibri"/>
          <w:color w:val="525866"/>
          <w:sz w:val="22"/>
        </w:rPr>
        <w:t xml:space="preserve">. </w:t>
      </w:r>
      <w:r>
        <w:rPr>
          <w:rFonts w:ascii="Calibri" w:hAnsi="Calibri"/>
          <w:b/>
          <w:color w:val="525866"/>
          <w:sz w:val="22"/>
        </w:rPr>
        <w:t>Corporate Payments organic growth</w:t>
      </w:r>
      <w:r>
        <w:rPr>
          <w:rFonts w:ascii="Calibri" w:hAnsi="Calibri"/>
          <w:color w:val="525866"/>
          <w:sz w:val="22"/>
        </w:rPr>
        <w:t xml:space="preserve"> (guided mid-teens) and </w:t>
      </w:r>
      <w:r>
        <w:rPr>
          <w:rFonts w:ascii="Calibri" w:hAnsi="Calibri"/>
          <w:b/>
          <w:color w:val="525866"/>
          <w:sz w:val="22"/>
        </w:rPr>
        <w:t>Spend Volume</w:t>
      </w:r>
      <w:r>
        <w:rPr>
          <w:rFonts w:ascii="Calibri" w:hAnsi="Calibri"/>
          <w:color w:val="525866"/>
          <w:sz w:val="22"/>
        </w:rPr>
        <w:t xml:space="preserve"> are the biggest swing factors heading into the print.</w:t>
      </w:r>
    </w:p>
    <w:p>
      <w:r>
        <w:rPr>
          <w:rFonts w:ascii="Calibri" w:hAnsi="Calibri"/>
          <w:b/>
          <w:color w:val="525866"/>
          <w:sz w:val="22"/>
        </w:rPr>
        <w:t>Table 1 — Current Quarter Snapshot (Q2 2026)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Q1 2026 Actual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2025 Actual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Q2 2026 Consensus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YoY Change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$1,261M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$1,102M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$1,302M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+18.1%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~$1,295M midpoint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+0.5% above midpoint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Adj. EPS (Diluted Operating)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$5.80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$5.13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$6.60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+28.7%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~$6.55 midpoint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+0.8% above midpoint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Corporate Payments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$503.9M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$387M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$529.5M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+36.8%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Vehicle Payments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$563.9M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$512M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$570.6M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+11.4%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Lodging Revenue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$111M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$120M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$121.5M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+1.3%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Corp. Payments Organic Growth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16%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19%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15.2%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Mid-teens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At guidance midpoint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Vehicle Payments Organic Growth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10%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9%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8.2%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~9–10%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Slightly below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Total Organic Revenue Growth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11%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11%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10.2%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9–11%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At midpoint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Spend Volume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$81.85B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$55.67B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$82.2B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+47.6%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EBITDA (Company Defined)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$636.9M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$570.7M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$658.7M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+15.4%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N/A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Source: Visible Alpha Consensus and Actuals Data. All actuals from Visible Alpha.</w:t>
      </w:r>
    </w:p>
    <w:p>
      <w:r>
        <w:rPr>
          <w:rFonts w:ascii="Calibri" w:hAnsi="Calibri"/>
          <w:b/>
          <w:color w:val="525866"/>
          <w:sz w:val="22"/>
        </w:rPr>
        <w:t>Table 2 — Beat/Miss History (Last 8 Quarters) — Revenue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$975.7M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$973.7M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$1,029.2M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$1,025.9M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$1,034.4M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$1,063.2M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-2.7%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$1,005.7M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$1,012.0M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-0.6%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$1,102.0M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$1,099.9M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$1,172.5M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$1,165.4M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+0.6%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$1,248.2M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$1,239.0M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+0.7%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$1,261.0M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$1,213.8M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sz w:val="22"/>
              </w:rPr>
              <w:t>+3.9%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</w:tbl>
    <w:p>
      <w:r>
        <w:rPr>
          <w:rFonts w:ascii="Calibri" w:hAnsi="Calibri"/>
          <w:b/>
          <w:color w:val="525866"/>
          <w:sz w:val="22"/>
        </w:rPr>
        <w:t>Table 2 — Beat/Miss History (Last 8 Quarters) — Adj. EPS (Diluted Operating)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Quarter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Reported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Surprise %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Result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$4.54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$4.51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+0.7%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$5.01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$4.97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+0.8%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$5.36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$5.48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-2.2%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E5484D"/>
                <w:sz w:val="22"/>
              </w:rPr>
              <w:t>Miss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$4.51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$4.51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0.0%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In-line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$5.13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$5.12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+0.2%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Q3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$5.70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$5.64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+1.1%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Q4 2025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$6.04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$5.96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+1.3%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Q1 2026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$5.80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$5.48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sz w:val="22"/>
              </w:rPr>
              <w:t>+5.8%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b/>
                <w:color w:val="30A46C"/>
                <w:sz w:val="22"/>
              </w:rPr>
              <w:t>Beat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 xml:space="preserve">CPAY has beaten on revenue in 6 of the last 8 quarters and on EPS in 7 of 8, with the Q1 2026 beat being the largest in recent history (+3.9% revenue, +5.8% EPS). The trend of </w:t>
      </w:r>
      <w:r>
        <w:rPr>
          <w:rFonts w:ascii="Calibri" w:hAnsi="Calibri"/>
          <w:b/>
          <w:i/>
          <w:color w:val="525866"/>
          <w:sz w:val="22"/>
        </w:rPr>
        <w:t>accelerating beats</w:t>
      </w:r>
      <w:r>
        <w:rPr>
          <w:rFonts w:ascii="Calibri" w:hAnsi="Calibri"/>
          <w:i/>
          <w:color w:val="525866"/>
          <w:sz w:val="22"/>
        </w:rPr>
        <w:t xml:space="preserve"> is notable heading into Q2.</w:t>
      </w:r>
    </w:p>
    <w:p>
      <w:r>
        <w:rPr>
          <w:rFonts w:ascii="Calibri" w:hAnsi="Calibri"/>
          <w:i/>
          <w:color w:val="525866"/>
          <w:sz w:val="22"/>
        </w:rPr>
        <w:t>Source: Visible Alpha Consensus and Actuals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Guidance &amp; Commentary Evolution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No formal guidance revision since Q1 earnings, but management tone at conferences has been consistently bullish — </w:t>
      </w:r>
      <w:r>
        <w:rPr>
          <w:rFonts w:ascii="Calibri" w:hAnsi="Calibri"/>
          <w:b/>
          <w:color w:val="525866"/>
          <w:sz w:val="22"/>
        </w:rPr>
        <w:t>macro tailwinds (fuel, FX) have persisted</w:t>
      </w:r>
      <w:r>
        <w:rPr>
          <w:rFonts w:ascii="Calibri" w:hAnsi="Calibri"/>
          <w:color w:val="525866"/>
          <w:sz w:val="22"/>
        </w:rPr>
        <w:t xml:space="preserve"> and the </w:t>
      </w:r>
      <w:r>
        <w:rPr>
          <w:rFonts w:ascii="Calibri" w:hAnsi="Calibri"/>
          <w:b/>
          <w:color w:val="525866"/>
          <w:sz w:val="22"/>
        </w:rPr>
        <w:t>Alpha integration is tracking ahead of schedule</w:t>
      </w:r>
      <w:r>
        <w:rPr>
          <w:rFonts w:ascii="Calibri" w:hAnsi="Calibri"/>
          <w:color w:val="525866"/>
          <w:sz w:val="22"/>
        </w:rPr>
        <w:t>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Metric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2026 Earnings, May 7)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Revised Guidance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728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2026 Revenue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~$1.295B midpoint ($1.270B–$1.320B)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$1.302B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Consensus +0.5% above midpoint; unchanged since Q1 call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Q2 2026 Adj. EPS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~$6.55 midpoint ($6.30–$6.80)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$6.60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Consensus +0.8% above midpoint; unchanged since Q1 call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Revenue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~$5.290B midpoint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$5.301B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Consensus +0.2% above midpoint; raised from prior guide at Q1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Adj. EPS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~$26.70 midpoint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$26.79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Consensus +0.3% above midpoint; raised from $26.35 prior guide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FY 2026 Organic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~10%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10.0%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Consensus at guidance; management reiterated at conferences</w:t>
            </w:r>
          </w:p>
        </w:tc>
      </w:tr>
      <w:tr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Corp. Payments Organic Growth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Mid-teens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15.2%</w:t>
            </w:r>
          </w:p>
        </w:tc>
        <w:tc>
          <w:tcPr>
            <w:tcW w:type="dxa" w:w="1728"/>
          </w:tcPr>
          <w:p>
            <w:r>
              <w:rPr>
                <w:rFonts w:ascii="Calibri" w:hAnsi="Calibri"/>
                <w:sz w:val="22"/>
              </w:rPr>
              <w:t>At low end of mid-teens; Alpha synergies expected to accelerate H2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At the JPMorgan TMC Conference (May 18) and Morgan Stanley Financials Conference (June 9), CFO Peter Walker reiterated confidence in the full-year outlook, noting macro tailwinds (fuel prices, FX volatility, weaker USD) remain supportive. Alpha platform migration targeted for July/August completion — a key catalyst for H2 synergy realization. No formal guidance revision has been issued since the Q1 2026 earnings call.</w:t>
      </w:r>
    </w:p>
    <w:p>
      <w:r>
        <w:rPr>
          <w:rFonts w:ascii="Calibri" w:hAnsi="Calibri"/>
          <w:i/>
          <w:color w:val="525866"/>
          <w:sz w:val="22"/>
        </w:rPr>
        <w:t>Source: CPAY Q1 2026 Earnings Call (May 7, 2026); JPMorgan TMC Conference (May 18, 2026); Morgan Stanley U.S. Financials Conference (June 9, 2026).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Guidance vs. Estimate Revision Tracker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Estimates have moved modestly higher since Q1 earnings, tracking guidance closely. The Q2 EPS estimate is up ~+0.5% since the post-Q1 baseline, suggesting the Street has absorbed the guidance raise without significant incremental upside being priced in — </w:t>
      </w:r>
      <w:r>
        <w:rPr>
          <w:rFonts w:ascii="Calibri" w:hAnsi="Calibri"/>
          <w:b/>
          <w:color w:val="525866"/>
          <w:sz w:val="22"/>
        </w:rPr>
        <w:t>leaving room for a beat if macro tailwinds persist</w:t>
      </w:r>
      <w:r>
        <w:rPr>
          <w:rFonts w:ascii="Calibri" w:hAnsi="Calibri"/>
          <w:color w:val="525866"/>
          <w:sz w:val="22"/>
        </w:rPr>
        <w:t>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KPI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(May 12, 2026 — 5 Days Post Q1)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Consensus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Estimate Δ (%)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Initial Guidance (Q1 Call)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Current Guidance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Guidance Δ</w:t>
            </w:r>
          </w:p>
        </w:tc>
        <w:tc>
          <w:tcPr>
            <w:tcW w:type="dxa" w:w="1080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Consensus vs. Guidance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Q2 2026 Revenue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$1,297.7M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$1,301.8M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+0.3%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~$1,295M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+0.5% above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Q2 2026 Adj. EPS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$6.57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$6.60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+0.5%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~$6.55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+0.8% above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FY 2026 Revenue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$5,302.0M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$5,301.0M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-0.02%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~$5,290M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+0.2% above</w:t>
            </w:r>
          </w:p>
        </w:tc>
      </w:tr>
      <w:tr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FY 2026 Adj. EPS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$26.79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$26.79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0.0%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~$26.70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Unchanged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—</w:t>
            </w:r>
          </w:p>
        </w:tc>
        <w:tc>
          <w:tcPr>
            <w:tcW w:type="dxa" w:w="1080"/>
          </w:tcPr>
          <w:p>
            <w:r>
              <w:rPr>
                <w:rFonts w:ascii="Calibri" w:hAnsi="Calibri"/>
                <w:sz w:val="22"/>
              </w:rPr>
              <w:t>+0.3% above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Estimates have been remarkably stable since Q1 earnings, with minimal revision activity. This suggests the Street is comfortable with guidance but not pricing in incremental upside — leaving room for a beat if macro tailwinds (fuel, FX) persisted into Q2.</w:t>
      </w:r>
    </w:p>
    <w:p>
      <w:r>
        <w:rPr>
          <w:rFonts w:ascii="Calibri" w:hAnsi="Calibri"/>
          <w:i/>
          <w:color w:val="525866"/>
          <w:sz w:val="22"/>
        </w:rPr>
        <w:t>Source: Visible Alpha Consensus and Actuals Data (as-of date: May 12, 2026 and current).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Stock Performance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CPAY has </w:t>
      </w:r>
      <w:r>
        <w:rPr>
          <w:rFonts w:ascii="Calibri" w:hAnsi="Calibri"/>
          <w:b/>
          <w:color w:val="525866"/>
          <w:sz w:val="22"/>
        </w:rPr>
        <w:t>massively outperformed</w:t>
      </w:r>
      <w:r>
        <w:rPr>
          <w:rFonts w:ascii="Calibri" w:hAnsi="Calibri"/>
          <w:color w:val="525866"/>
          <w:sz w:val="22"/>
        </w:rPr>
        <w:t xml:space="preserve"> since Q1 earnings (+29.7% vs. SPY +5.4% and IPAY +10.0%), driven by a combination of multiple re-rating and estimate revisions. The stock’s strong run </w:t>
      </w:r>
      <w:r>
        <w:rPr>
          <w:rFonts w:ascii="Calibri" w:hAnsi="Calibri"/>
          <w:b/>
          <w:color w:val="525866"/>
          <w:sz w:val="22"/>
        </w:rPr>
        <w:t>raises the bar for a positive reaction</w:t>
      </w:r>
      <w:r>
        <w:rPr>
          <w:rFonts w:ascii="Calibri" w:hAnsi="Calibri"/>
          <w:color w:val="525866"/>
          <w:sz w:val="22"/>
        </w:rPr>
        <w:t xml:space="preserve"> on Q2 results.</w:t>
      </w:r>
    </w:p>
    <w:p>
      <w:r>
        <w:drawing>
          <wp:inline xmlns:a="http://schemas.openxmlformats.org/drawingml/2006/main" xmlns:pic="http://schemas.openxmlformats.org/drawingml/2006/picture">
            <wp:extent cx="5943600" cy="42454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666666"/>
          <w:sz w:val="18"/>
        </w:rPr>
        <w:t>CPAY vs. IPAY (Payments ETF) vs. S&amp;P 500 (SPY) — Indexed to 100 at Q1 2026 Earnings (May 7, 2026). Source: Yahoo Finance / Stock Price Data.</w:t>
      </w:r>
    </w:p>
    <w:p>
      <w:r>
        <w:rPr>
          <w:rFonts w:ascii="Calibri" w:hAnsi="Calibri"/>
          <w:color w:val="525866"/>
          <w:sz w:val="22"/>
        </w:rPr>
        <w:t xml:space="preserve">CPAY has surged </w:t>
      </w:r>
      <w:r>
        <w:rPr>
          <w:rFonts w:ascii="Calibri" w:hAnsi="Calibri"/>
          <w:b/>
          <w:color w:val="525866"/>
          <w:sz w:val="22"/>
        </w:rPr>
        <w:t>+29.7%</w:t>
      </w:r>
      <w:r>
        <w:rPr>
          <w:rFonts w:ascii="Calibri" w:hAnsi="Calibri"/>
          <w:color w:val="525866"/>
          <w:sz w:val="22"/>
        </w:rPr>
        <w:t xml:space="preserve"> since Q1 earnings (May 7, 2026) vs. +5.4% for the S&amp;P 500 (SPY) and +10.0% for the payments sector ETF (IPAY), a remarkable outperformance driven by the Q1 beat-and-raise, the Cross-Border Teach-In (May 13), and continued conference appearances reinforcing the corporate payments transformation narrative. The stock’s re-rating from ~12–13x NTM EPS to ~16x reflects improved sentiment around the portfolio rotation and Alpha integration progress. With the stock up 30% in 3 months, the market has already priced in significant execution — a </w:t>
      </w:r>
      <w:r>
        <w:rPr>
          <w:rFonts w:ascii="Calibri" w:hAnsi="Calibri"/>
          <w:b/>
          <w:color w:val="525866"/>
          <w:sz w:val="22"/>
        </w:rPr>
        <w:t>guidance raise and Corporate Payments organic growth above 15%</w:t>
      </w:r>
      <w:r>
        <w:rPr>
          <w:rFonts w:ascii="Calibri" w:hAnsi="Calibri"/>
          <w:color w:val="525866"/>
          <w:sz w:val="22"/>
        </w:rPr>
        <w:t xml:space="preserve"> are likely needed to sustain the momentum.</w:t>
      </w:r>
    </w:p>
    <w:p>
      <w:r>
        <w:rPr>
          <w:rFonts w:ascii="Calibri" w:hAnsi="Calibri"/>
          <w:i/>
          <w:color w:val="525866"/>
          <w:sz w:val="22"/>
        </w:rPr>
        <w:t>Sector ETF used: IPAY (ETFMG Prime Mobile Payments ETF) — tracks the payments/fintech sub-sector, appropriate for CPAY’s B2B payments and fleet card business mix. Source: Yahoo Finance / Stock Price Data.</w:t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Material News &amp; Developments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The most important development since Q1 earnings is the </w:t>
      </w:r>
      <w:r>
        <w:rPr>
          <w:rFonts w:ascii="Calibri" w:hAnsi="Calibri"/>
          <w:b/>
          <w:color w:val="525866"/>
          <w:sz w:val="22"/>
        </w:rPr>
        <w:t>Cross-Border Business Teach-In (May 13)</w:t>
      </w:r>
      <w:r>
        <w:rPr>
          <w:rFonts w:ascii="Calibri" w:hAnsi="Calibri"/>
          <w:color w:val="525866"/>
          <w:sz w:val="22"/>
        </w:rPr>
        <w:t xml:space="preserve">, which provided detailed investor education on the $161B TAM opportunity and reinforced the long-term growth algorithm. The </w:t>
      </w:r>
      <w:r>
        <w:rPr>
          <w:rFonts w:ascii="Calibri" w:hAnsi="Calibri"/>
          <w:b/>
          <w:color w:val="525866"/>
          <w:sz w:val="22"/>
        </w:rPr>
        <w:t>PSU award (July 22) with price targets of $425/$450/$475</w:t>
      </w:r>
      <w:r>
        <w:rPr>
          <w:rFonts w:ascii="Calibri" w:hAnsi="Calibri"/>
          <w:color w:val="525866"/>
          <w:sz w:val="22"/>
        </w:rPr>
        <w:t xml:space="preserve"> signals strong management conviction in the stock.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22, 2026 — </w:t>
      </w:r>
      <w:r>
        <w:rPr>
          <w:rFonts w:ascii="Calibri" w:hAnsi="Calibri"/>
          <w:b/>
          <w:color w:val="525866"/>
          <w:sz w:val="22"/>
        </w:rPr>
        <w:t xml:space="preserve">PSU Award 8-K: </w:t>
      </w:r>
      <w:r>
        <w:rPr>
          <w:rFonts w:ascii="Calibri" w:hAnsi="Calibri"/>
          <w:color w:val="525866"/>
          <w:sz w:val="22"/>
        </w:rPr>
        <w:t xml:space="preserve">Board approved special performance-based RSU grants to CEO Ron Clarke (300,000 PSUs) and President Armando Netto (28,213 PSUs) with stock price hurdles of </w:t>
      </w:r>
      <w:r>
        <w:rPr>
          <w:rFonts w:ascii="Calibri" w:hAnsi="Calibri"/>
          <w:b/>
          <w:color w:val="525866"/>
          <w:sz w:val="22"/>
        </w:rPr>
        <w:t>$425, $450, and $475</w:t>
      </w:r>
      <w:r>
        <w:rPr>
          <w:rFonts w:ascii="Calibri" w:hAnsi="Calibri"/>
          <w:color w:val="525866"/>
          <w:sz w:val="22"/>
        </w:rPr>
        <w:t xml:space="preserve"> (vs. current ~$370–396 range). Performance period runs through August 31, 2028.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Strong management conviction signal — these are ambitious targets representing 7–20% upside from current levels; aligns executive compensation directly with shareholder value creation.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July 22, 2026 — </w:t>
      </w:r>
      <w:r>
        <w:rPr>
          <w:rFonts w:ascii="Calibri" w:hAnsi="Calibri"/>
          <w:b/>
          <w:color w:val="525866"/>
          <w:sz w:val="22"/>
        </w:rPr>
        <w:t xml:space="preserve">Q2 Earnings Date Announced: </w:t>
      </w:r>
      <w:r>
        <w:rPr>
          <w:rFonts w:ascii="Calibri" w:hAnsi="Calibri"/>
          <w:color w:val="525866"/>
          <w:sz w:val="22"/>
        </w:rPr>
        <w:t>Corpay confirmed Q2 2026 results will be reported on August 5, 2026.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June 9, 2026 — </w:t>
      </w:r>
      <w:r>
        <w:rPr>
          <w:rFonts w:ascii="Calibri" w:hAnsi="Calibri"/>
          <w:b/>
          <w:color w:val="525866"/>
          <w:sz w:val="22"/>
        </w:rPr>
        <w:t xml:space="preserve">Morgan Stanley U.S. Financials Conference: </w:t>
      </w:r>
      <w:r>
        <w:rPr>
          <w:rFonts w:ascii="Calibri" w:hAnsi="Calibri"/>
          <w:color w:val="525866"/>
          <w:sz w:val="22"/>
        </w:rPr>
        <w:t>CFO Peter Walker reiterated the updated EPS growth algorithm (10–13–24%), confirmed cross-border revenue on track for ~$1.5B in 2026, and noted the stock trades at 12–13x NTM EPS — viewed as significantly undervalued. Mastercard FI channel partnership progressing with 3 clients closed and strong pipeline.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18, 2026 — </w:t>
      </w:r>
      <w:r>
        <w:rPr>
          <w:rFonts w:ascii="Calibri" w:hAnsi="Calibri"/>
          <w:b/>
          <w:color w:val="525866"/>
          <w:sz w:val="22"/>
        </w:rPr>
        <w:t xml:space="preserve">JPMorgan TMC Conference: </w:t>
      </w:r>
      <w:r>
        <w:rPr>
          <w:rFonts w:ascii="Calibri" w:hAnsi="Calibri"/>
          <w:color w:val="525866"/>
          <w:sz w:val="22"/>
        </w:rPr>
        <w:t>Management confirmed macro tailwinds (fuel prices, FX volatility, weaker USD) are supportive, Vehicle Payments tracking expectations across all three geographies, and Alpha integration ahead of schedule with ~15% of clients migrated to Corpay platform.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13, 2026 — </w:t>
      </w:r>
      <w:r>
        <w:rPr>
          <w:rFonts w:ascii="Calibri" w:hAnsi="Calibri"/>
          <w:b/>
          <w:color w:val="525866"/>
          <w:sz w:val="22"/>
        </w:rPr>
        <w:t xml:space="preserve">Cross-Border Business Teach-In: </w:t>
      </w:r>
      <w:r>
        <w:rPr>
          <w:rFonts w:ascii="Calibri" w:hAnsi="Calibri"/>
          <w:color w:val="525866"/>
          <w:sz w:val="22"/>
        </w:rPr>
        <w:t xml:space="preserve">Detailed investor education on the cross-border business — </w:t>
      </w:r>
      <w:r>
        <w:rPr>
          <w:rFonts w:ascii="Calibri" w:hAnsi="Calibri"/>
          <w:b/>
          <w:color w:val="525866"/>
          <w:sz w:val="22"/>
        </w:rPr>
        <w:t>$161B TAM with less than 1% market share</w:t>
      </w:r>
      <w:r>
        <w:rPr>
          <w:rFonts w:ascii="Calibri" w:hAnsi="Calibri"/>
          <w:color w:val="525866"/>
          <w:sz w:val="22"/>
        </w:rPr>
        <w:t xml:space="preserve">, 97–98% revenue retention, 20%+ new sales growth annually, and high-teens organic growth algorithm. Blockchain rails (JPMorgan Kinexys + BVNK) positioned as additive, not disruptive. </w:t>
      </w:r>
      <w:r>
        <w:rPr>
          <w:rFonts w:ascii="Calibri" w:hAnsi="Calibri"/>
          <w:i/>
          <w:color w:val="525866"/>
          <w:sz w:val="22"/>
        </w:rPr>
        <w:t xml:space="preserve">Implication: </w:t>
      </w:r>
      <w:r>
        <w:rPr>
          <w:rFonts w:ascii="Calibri" w:hAnsi="Calibri"/>
          <w:color w:val="525866"/>
          <w:sz w:val="22"/>
        </w:rPr>
        <w:t>Significant investor education event that likely contributed to the stock’s re-rating post-Q1.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May 7, 2026 — </w:t>
      </w:r>
      <w:r>
        <w:rPr>
          <w:rFonts w:ascii="Calibri" w:hAnsi="Calibri"/>
          <w:b/>
          <w:color w:val="525866"/>
          <w:sz w:val="22"/>
        </w:rPr>
        <w:t xml:space="preserve">Q1 2026 Earnings Beat-and-Raise: </w:t>
      </w:r>
      <w:r>
        <w:rPr>
          <w:rFonts w:ascii="Calibri" w:hAnsi="Calibri"/>
          <w:color w:val="525866"/>
          <w:sz w:val="22"/>
        </w:rPr>
        <w:t xml:space="preserve">Revenue beat by ~$50M (+3.9%), EPS beat by $0.35 (+5.8%). Full-year guidance raised on both revenue ($5.29B midpoint) and EPS ($26.70 midpoint). PayByPhone divestiture completed. Two additional businesses in market (~$1B proceeds). Board approved additional </w:t>
      </w:r>
      <w:r>
        <w:rPr>
          <w:rFonts w:ascii="Calibri" w:hAnsi="Calibri"/>
          <w:b/>
          <w:color w:val="525866"/>
          <w:sz w:val="22"/>
        </w:rPr>
        <w:t>$1B share repurchase authorization</w:t>
      </w:r>
      <w:r>
        <w:rPr>
          <w:rFonts w:ascii="Calibri" w:hAnsi="Calibri"/>
          <w:color w:val="525866"/>
          <w:sz w:val="22"/>
        </w:rPr>
        <w:t>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Insider Transaction Activity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Only open-market sales since Q1 earnings, all from Group President Armando Netto and one Director. No open-market buys. The </w:t>
      </w:r>
      <w:r>
        <w:rPr>
          <w:rFonts w:ascii="Calibri" w:hAnsi="Calibri"/>
          <w:b/>
          <w:color w:val="525866"/>
          <w:sz w:val="22"/>
        </w:rPr>
        <w:t>PSU award (July 22) with ambitious price targets ($425/$450/$475)</w:t>
      </w:r>
      <w:r>
        <w:rPr>
          <w:rFonts w:ascii="Calibri" w:hAnsi="Calibri"/>
          <w:color w:val="525866"/>
          <w:sz w:val="22"/>
        </w:rPr>
        <w:t xml:space="preserve"> is the more meaningful insider signal — it reflects management conviction in the stock’s upside.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Name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Title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Transaction Type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Value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Disclosure Date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Effective Date</w:t>
            </w:r>
          </w:p>
        </w:tc>
        <w:tc>
          <w:tcPr>
            <w:tcW w:type="dxa" w:w="1234"/>
            <w:shd w:val="clear" w:color="auto" w:fill="3B4259"/>
          </w:tcPr>
          <w:p>
            <w:r>
              <w:rPr>
                <w:rFonts w:ascii="Calibri" w:hAnsi="Calibri"/>
                <w:b/>
                <w:color w:val="FFFFFF"/>
                <w:sz w:val="22"/>
              </w:rPr>
              <w:t>Note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Armando Lins Netto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Group President, Brazil &amp; US Vehicle Payments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~$26.7M (70,476 shares)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June 16,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June 15,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Discretionary; largest single transaction in the period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Armando Lins Netto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Group President, Brazil &amp; US Vehicle Payments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~$1.6M (4,560 shares)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June 12,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June 11,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Discretionary sale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Armando Lins Netto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Group President, Brazil &amp; US Vehicle Payments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~$151K (418 shares)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29,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May 27,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Discretionary sale</w:t>
            </w:r>
          </w:p>
        </w:tc>
      </w:tr>
      <w:tr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Steven T. Stull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Director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Open Market Sale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~$360K (1,000 shares)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June 15,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June 2, 2026</w:t>
            </w:r>
          </w:p>
        </w:tc>
        <w:tc>
          <w:tcPr>
            <w:tcW w:type="dxa" w:w="1234"/>
          </w:tcPr>
          <w:p>
            <w:r>
              <w:rPr>
                <w:rFonts w:ascii="Calibri" w:hAnsi="Calibri"/>
                <w:sz w:val="22"/>
              </w:rPr>
              <w:t>Discretionary sale</w:t>
            </w:r>
          </w:p>
        </w:tc>
      </w:tr>
    </w:tbl>
    <w:p>
      <w:r>
        <w:rPr>
          <w:rFonts w:ascii="Calibri" w:hAnsi="Calibri"/>
          <w:i/>
          <w:color w:val="525866"/>
          <w:sz w:val="22"/>
        </w:rPr>
        <w:t>All transactions are open-market sales with no 10b5-1 plan indicated. Netto’s sales are notable in size but should be viewed in context of the PSU award granted July 22 — management is simultaneously selling existing shares while receiving new performance-based equity tied to ambitious price targets ($425–$475), suggesting the sales may reflect portfolio rebalancing rather than a bearish view.</w:t>
      </w:r>
    </w:p>
    <w:p>
      <w:r>
        <w:rPr>
          <w:rFonts w:ascii="Calibri" w:hAnsi="Calibri"/>
          <w:i/>
          <w:color w:val="525866"/>
          <w:sz w:val="22"/>
        </w:rPr>
        <w:t>Source: SEC Form 4 Filings Database / Insider Transaction Data.</w:t>
      </w:r>
    </w:p>
    <w:p>
      <w:r>
        <w:br w:type="page"/>
      </w:r>
    </w:p>
    <w:p>
      <w:pPr>
        <w:pStyle w:val="Heading2"/>
      </w:pPr>
      <w:r>
        <w:rPr>
          <w:rFonts w:ascii="Calibri" w:hAnsi="Calibri"/>
          <w:b/>
          <w:color w:val="3B4259"/>
          <w:sz w:val="28"/>
        </w:rPr>
        <w:t>Peer Commentaries — Q2 2026 Read-Throughs</w:t>
      </w:r>
    </w:p>
    <w:p>
      <w:r>
        <w:rPr>
          <w:rFonts w:ascii="Calibri" w:hAnsi="Calibri"/>
          <w:b/>
          <w:color w:val="525866"/>
          <w:sz w:val="22"/>
        </w:rPr>
        <w:t xml:space="preserve">Key Takeaway: </w:t>
      </w:r>
      <w:r>
        <w:rPr>
          <w:rFonts w:ascii="Calibri" w:hAnsi="Calibri"/>
          <w:color w:val="525866"/>
          <w:sz w:val="22"/>
        </w:rPr>
        <w:t xml:space="preserve">Peer commentary from Q2 2026 earnings (reported in the last 60 days) is </w:t>
      </w:r>
      <w:r>
        <w:rPr>
          <w:rFonts w:ascii="Calibri" w:hAnsi="Calibri"/>
          <w:b/>
          <w:color w:val="525866"/>
          <w:sz w:val="22"/>
        </w:rPr>
        <w:t>broadly constructive for CPAY</w:t>
      </w:r>
      <w:r>
        <w:rPr>
          <w:rFonts w:ascii="Calibri" w:hAnsi="Calibri"/>
          <w:color w:val="525866"/>
          <w:sz w:val="22"/>
        </w:rPr>
        <w:t xml:space="preserve"> — cross-border volumes accelerating, B2B/AP payments demand healthy, and fuel price tailwinds benefiting fleet payments. </w:t>
      </w:r>
      <w:r>
        <w:rPr>
          <w:rFonts w:ascii="Calibri" w:hAnsi="Calibri"/>
          <w:b/>
          <w:color w:val="525866"/>
          <w:sz w:val="22"/>
        </w:rPr>
        <w:t>WEX’s same-store sales weakness in North American mobility</w:t>
      </w:r>
      <w:r>
        <w:rPr>
          <w:rFonts w:ascii="Calibri" w:hAnsi="Calibri"/>
          <w:color w:val="525866"/>
          <w:sz w:val="22"/>
        </w:rPr>
        <w:t xml:space="preserve"> is the one cautionary data point to watch.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WEX (WEX) — Q2 2026 Earnings (July 23, 2026) — Fleet/Vehicle Payments Read-Through</w:t>
      </w:r>
    </w:p>
    <w:p>
      <w:r>
        <w:rPr>
          <w:rFonts w:ascii="Calibri" w:hAnsi="Calibri"/>
          <w:b/>
          <w:color w:val="525866"/>
          <w:sz w:val="22"/>
        </w:rPr>
        <w:t xml:space="preserve">Relevance: </w:t>
      </w:r>
      <w:r>
        <w:rPr>
          <w:rFonts w:ascii="Calibri" w:hAnsi="Calibri"/>
          <w:color w:val="525866"/>
          <w:sz w:val="22"/>
        </w:rPr>
        <w:t>WEX is CPAY’s closest peer in fleet/vehicle payments. WEX Q2 results are a direct read-through for CPAY’s Vehicle Payments segment.</w:t>
      </w:r>
    </w:p>
    <w:p>
      <w:pPr>
        <w:pStyle w:val="ListBullet"/>
        <w:ind w:left="360" w:hanging="360"/>
      </w:pPr>
      <w:r>
        <w:rPr>
          <w:rFonts w:ascii="Calibri" w:hAnsi="Calibri"/>
          <w:color w:val="525866"/>
          <w:sz w:val="22"/>
        </w:rPr>
        <w:t>WEX Q2 revenue grew 14.2% YoY (4.2% ex-fuel/FX), at the midpoint of guidance — solid execution in a challenging macro environment.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Fuel prices were a significant tailwind: </w:t>
      </w:r>
      <w:r>
        <w:rPr>
          <w:rFonts w:ascii="Calibri" w:hAnsi="Calibri"/>
          <w:color w:val="525866"/>
          <w:sz w:val="22"/>
        </w:rPr>
        <w:t xml:space="preserve">fuel/FX contributed 10 percentage points of revenue growth and 25.4 percentage points of EPS growth. Higher fuel prices drove higher credit demand, which WEX managed well with AI-powered credit tools. This is a </w:t>
      </w:r>
      <w:r>
        <w:rPr>
          <w:rFonts w:ascii="Calibri" w:hAnsi="Calibri"/>
          <w:b/>
          <w:color w:val="525866"/>
          <w:sz w:val="22"/>
        </w:rPr>
        <w:t>direct positive read-through for CPAY’s Vehicle Payments segment</w:t>
      </w:r>
      <w:r>
        <w:rPr>
          <w:rFonts w:ascii="Calibri" w:hAnsi="Calibri"/>
          <w:color w:val="525866"/>
          <w:sz w:val="22"/>
        </w:rPr>
        <w:t>, where fuel prices drive revenue per transaction.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 xml:space="preserve">Same-store sales weakness persists in North American mobility: </w:t>
      </w:r>
      <w:r>
        <w:rPr>
          <w:rFonts w:ascii="Calibri" w:hAnsi="Calibri"/>
          <w:color w:val="525866"/>
          <w:sz w:val="22"/>
        </w:rPr>
        <w:t xml:space="preserve">WEX noted “pretty consistent” same-store sales weakness across the portfolio, with demand-side volumes still constrained by broader economic conditions despite supply-side recovery in trucking. This is a </w:t>
      </w:r>
      <w:r>
        <w:rPr>
          <w:rFonts w:ascii="Calibri" w:hAnsi="Calibri"/>
          <w:b/>
          <w:color w:val="525866"/>
          <w:sz w:val="22"/>
        </w:rPr>
        <w:t>cautionary read-through for CPAY’s US fleet business</w:t>
      </w:r>
      <w:r>
        <w:rPr>
          <w:rFonts w:ascii="Calibri" w:hAnsi="Calibri"/>
          <w:color w:val="525866"/>
          <w:sz w:val="22"/>
        </w:rPr>
        <w:t>, though CPAY’s US same-store sales already turned positive (+1%) in Q1.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Direct AP volume growth accelerated to 20%</w:t>
      </w:r>
      <w:r>
        <w:rPr>
          <w:rFonts w:ascii="Calibri" w:hAnsi="Calibri"/>
          <w:color w:val="525866"/>
          <w:sz w:val="22"/>
        </w:rPr>
        <w:t xml:space="preserve"> in Q2, expected to continue at mid-teens for the rest of the year — a </w:t>
      </w:r>
      <w:r>
        <w:rPr>
          <w:rFonts w:ascii="Calibri" w:hAnsi="Calibri"/>
          <w:b/>
          <w:color w:val="525866"/>
          <w:sz w:val="22"/>
        </w:rPr>
        <w:t>positive read-through for CPAY’s payables/AP automation business</w:t>
      </w:r>
      <w:r>
        <w:rPr>
          <w:rFonts w:ascii="Calibri" w:hAnsi="Calibri"/>
          <w:color w:val="525866"/>
          <w:sz w:val="22"/>
        </w:rPr>
        <w:t xml:space="preserve"> within Corporate Payments.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WEX raised full-year guidance</w:t>
      </w:r>
      <w:r>
        <w:rPr>
          <w:rFonts w:ascii="Calibri" w:hAnsi="Calibri"/>
          <w:color w:val="525866"/>
          <w:sz w:val="22"/>
        </w:rPr>
        <w:t>, driven by Q2 outperformance and higher fuel price assumptions — consistent with CPAY’s constructive macro backdrop.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Mastercard (MA) — Q2 2026 Earnings (July 30, 2026) — Cross-Border &amp; B2B Payments Read-Through</w:t>
      </w:r>
    </w:p>
    <w:p>
      <w:r>
        <w:rPr>
          <w:rFonts w:ascii="Calibri" w:hAnsi="Calibri"/>
          <w:b/>
          <w:color w:val="525866"/>
          <w:sz w:val="22"/>
        </w:rPr>
        <w:t xml:space="preserve">Relevance: </w:t>
      </w:r>
      <w:r>
        <w:rPr>
          <w:rFonts w:ascii="Calibri" w:hAnsi="Calibri"/>
          <w:color w:val="525866"/>
          <w:sz w:val="22"/>
        </w:rPr>
        <w:t>MA’s cross-border volume trends and B2B commentary are direct read-throughs for CPAY’s Corporate Payments (cross-border) segment.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Cross-border volume grew 12% globally</w:t>
      </w:r>
      <w:r>
        <w:rPr>
          <w:rFonts w:ascii="Calibri" w:hAnsi="Calibri"/>
          <w:color w:val="525866"/>
          <w:sz w:val="22"/>
        </w:rPr>
        <w:t xml:space="preserve"> in Q2, with cross-border card-not-present ex-travel up 20% — strong underlying demand for cross-border payments. This is a </w:t>
      </w:r>
      <w:r>
        <w:rPr>
          <w:rFonts w:ascii="Calibri" w:hAnsi="Calibri"/>
          <w:b/>
          <w:color w:val="525866"/>
          <w:sz w:val="22"/>
        </w:rPr>
        <w:t>positive read-through for CPAY’s cross-border business</w:t>
      </w:r>
      <w:r>
        <w:rPr>
          <w:rFonts w:ascii="Calibri" w:hAnsi="Calibri"/>
          <w:color w:val="525866"/>
          <w:sz w:val="22"/>
        </w:rPr>
        <w:t>, which benefits from elevated FX transaction volumes.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Commercial debit and credit volumes grew 12%</w:t>
      </w:r>
      <w:r>
        <w:rPr>
          <w:rFonts w:ascii="Calibri" w:hAnsi="Calibri"/>
          <w:color w:val="525866"/>
          <w:sz w:val="22"/>
        </w:rPr>
        <w:t xml:space="preserve"> in Q2 — healthy B2B spending environment supportive of CPAY’s corporate payments spend volumes.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Macro environment described as “supportive”</w:t>
      </w:r>
      <w:r>
        <w:rPr>
          <w:rFonts w:ascii="Calibri" w:hAnsi="Calibri"/>
          <w:color w:val="525866"/>
          <w:sz w:val="22"/>
        </w:rPr>
        <w:t xml:space="preserve"> — consumers and businesses healthy, positive job growth, low unemployment. No signs of demand deterioration heading into Q3.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FX volatility was a modest headwind to MA’s yields</w:t>
      </w:r>
      <w:r>
        <w:rPr>
          <w:rFonts w:ascii="Calibri" w:hAnsi="Calibri"/>
          <w:color w:val="525866"/>
          <w:sz w:val="22"/>
        </w:rPr>
        <w:t xml:space="preserve"> (lapping peak volatility from Q3 2025), but the underlying cross-border volume growth was strong. For CPAY, FX volatility is a </w:t>
      </w:r>
      <w:r>
        <w:rPr>
          <w:rFonts w:ascii="Calibri" w:hAnsi="Calibri"/>
          <w:b/>
          <w:color w:val="525866"/>
          <w:sz w:val="22"/>
        </w:rPr>
        <w:t>revenue driver (not a yield headwind)</w:t>
      </w:r>
      <w:r>
        <w:rPr>
          <w:rFonts w:ascii="Calibri" w:hAnsi="Calibri"/>
          <w:color w:val="525866"/>
          <w:sz w:val="22"/>
        </w:rPr>
        <w:t>, so this is a net positive for CPAY’s FX risk management business.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Middle East instability moderated through Q2</w:t>
      </w:r>
      <w:r>
        <w:rPr>
          <w:rFonts w:ascii="Calibri" w:hAnsi="Calibri"/>
          <w:color w:val="525866"/>
          <w:sz w:val="22"/>
        </w:rPr>
        <w:t xml:space="preserve"> and was less severe than anticipated — a positive for global cross-border volumes and CPAY’s international business.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Mastercard’s FI channel partnership with CPAY is progressing</w:t>
      </w:r>
      <w:r>
        <w:rPr>
          <w:rFonts w:ascii="Calibri" w:hAnsi="Calibri"/>
          <w:color w:val="525866"/>
          <w:sz w:val="22"/>
        </w:rPr>
        <w:t xml:space="preserve"> — MA noted Truist Bank chose Mastercard virtual card capabilities for corporate clients, consistent with CPAY’s commentary about FI channel pipeline building.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Visa (V) — Fiscal Q3 2026 (Calendar Q2 2026) Earnings (July 28, 2026) — Cross-Border &amp; Commercial Payments Read-Through</w:t>
      </w:r>
    </w:p>
    <w:p>
      <w:r>
        <w:rPr>
          <w:rFonts w:ascii="Calibri" w:hAnsi="Calibri"/>
          <w:b/>
          <w:color w:val="525866"/>
          <w:sz w:val="22"/>
        </w:rPr>
        <w:t xml:space="preserve">Relevance: </w:t>
      </w:r>
      <w:r>
        <w:rPr>
          <w:rFonts w:ascii="Calibri" w:hAnsi="Calibri"/>
          <w:color w:val="525866"/>
          <w:sz w:val="22"/>
        </w:rPr>
        <w:t>Visa’s cross-border and commercial payment volume trends corroborate the macro backdrop for CPAY’s cross-border business.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Cross-border volume (ex-Intra-Europe) grew 12% YoY</w:t>
      </w:r>
      <w:r>
        <w:rPr>
          <w:rFonts w:ascii="Calibri" w:hAnsi="Calibri"/>
          <w:color w:val="525866"/>
          <w:sz w:val="22"/>
        </w:rPr>
        <w:t xml:space="preserve"> in constant dollars, accelerating more than a point from Q2. Cross-border e-commerce up 16% — strong underlying demand.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Commercial payment volume grew 13% YoY</w:t>
      </w:r>
      <w:r>
        <w:rPr>
          <w:rFonts w:ascii="Calibri" w:hAnsi="Calibri"/>
          <w:color w:val="525866"/>
          <w:sz w:val="22"/>
        </w:rPr>
        <w:t xml:space="preserve"> in constant dollars, accelerating 2 points from Q2 — the strongest commercial payment growth in recent quarters. This is a </w:t>
      </w:r>
      <w:r>
        <w:rPr>
          <w:rFonts w:ascii="Calibri" w:hAnsi="Calibri"/>
          <w:b/>
          <w:color w:val="525866"/>
          <w:sz w:val="22"/>
        </w:rPr>
        <w:t>strong positive read-through for CPAY’s corporate payments spend volumes</w:t>
      </w:r>
      <w:r>
        <w:rPr>
          <w:rFonts w:ascii="Calibri" w:hAnsi="Calibri"/>
          <w:color w:val="525866"/>
          <w:sz w:val="22"/>
        </w:rPr>
        <w:t>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U.S. payments volume grew 10% YoY</w:t>
      </w:r>
      <w:r>
        <w:rPr>
          <w:rFonts w:ascii="Calibri" w:hAnsi="Calibri"/>
          <w:color w:val="525866"/>
          <w:sz w:val="22"/>
        </w:rPr>
        <w:t xml:space="preserve"> — a growth rate not seen since fiscal 2019 (ex-COVID recovery). Both discretionary and non-discretionary spend remain strong with no signs of lower-spend consumer weakening.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FIFA World Cup boosted cross-border spend in June</w:t>
      </w:r>
      <w:r>
        <w:rPr>
          <w:rFonts w:ascii="Calibri" w:hAnsi="Calibri"/>
          <w:color w:val="525866"/>
          <w:sz w:val="22"/>
        </w:rPr>
        <w:t xml:space="preserve"> — inbound North America cross-border card-present spend up nearly 25% YoY in host cities. This is a one-time tailwind that may have benefited CPAY’s cross-border volumes in June.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Through July 21, cross-border volume grew 14% YoY</w:t>
      </w:r>
      <w:r>
        <w:rPr>
          <w:rFonts w:ascii="Calibri" w:hAnsi="Calibri"/>
          <w:color w:val="525866"/>
          <w:sz w:val="22"/>
        </w:rPr>
        <w:t xml:space="preserve"> (e-commerce +18%, travel +12%) — momentum has continued into Q3, supportive of CPAY’s H2 outlook.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FX volatility is lapping peak levels from Q3 2025</w:t>
      </w:r>
      <w:r>
        <w:rPr>
          <w:rFonts w:ascii="Calibri" w:hAnsi="Calibri"/>
          <w:color w:val="525866"/>
          <w:sz w:val="22"/>
        </w:rPr>
        <w:t xml:space="preserve">, which creates a modest yield headwind for Visa but is a </w:t>
      </w:r>
      <w:r>
        <w:rPr>
          <w:rFonts w:ascii="Calibri" w:hAnsi="Calibri"/>
          <w:b/>
          <w:color w:val="525866"/>
          <w:sz w:val="22"/>
        </w:rPr>
        <w:t>revenue tailwind for CPAY’s FX risk management business</w:t>
      </w:r>
      <w:r>
        <w:rPr>
          <w:rFonts w:ascii="Calibri" w:hAnsi="Calibri"/>
          <w:color w:val="525866"/>
          <w:sz w:val="22"/>
        </w:rPr>
        <w:t xml:space="preserve"> (CPAY earns on volatility, not just volume).</w:t>
      </w:r>
    </w:p>
    <w:p>
      <w:pPr>
        <w:pStyle w:val="Heading3"/>
      </w:pPr>
      <w:r>
        <w:rPr>
          <w:rFonts w:ascii="Calibri" w:hAnsi="Calibri"/>
          <w:b/>
          <w:color w:val="3B4259"/>
          <w:sz w:val="24"/>
        </w:rPr>
        <w:t>FIS — Q2 2026 Earnings (August 4, 2026) — B2B/Banking Payments Read-Through</w:t>
      </w:r>
    </w:p>
    <w:p>
      <w:r>
        <w:rPr>
          <w:rFonts w:ascii="Calibri" w:hAnsi="Calibri"/>
          <w:b/>
          <w:color w:val="525866"/>
          <w:sz w:val="22"/>
        </w:rPr>
        <w:t xml:space="preserve">Relevance: </w:t>
      </w:r>
      <w:r>
        <w:rPr>
          <w:rFonts w:ascii="Calibri" w:hAnsi="Calibri"/>
          <w:color w:val="525866"/>
          <w:sz w:val="22"/>
        </w:rPr>
        <w:t>FIS’s banking payments commentary provides context on enterprise B2B payment demand and AP automation trends.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Banking payments revenue grew 6.4%</w:t>
      </w:r>
      <w:r>
        <w:rPr>
          <w:rFonts w:ascii="Calibri" w:hAnsi="Calibri"/>
          <w:color w:val="525866"/>
          <w:sz w:val="22"/>
        </w:rPr>
        <w:t xml:space="preserve"> in Q2, with banking solutions overall up 6.1% — healthy demand for financial institution payment infrastructure, supportive of CPAY’s FI channel strategy.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Sales performance described as “super strong”</w:t>
      </w:r>
      <w:r>
        <w:rPr>
          <w:rFonts w:ascii="Calibri" w:hAnsi="Calibri"/>
          <w:color w:val="525866"/>
          <w:sz w:val="22"/>
        </w:rPr>
        <w:t xml:space="preserve"> with high double-digit ACV growth in banking solutions for three consecutive quarters — strong pipeline building in enterprise payments, consistent with CPAY’s commentary on payables and AP automation demand.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Capital markets segment faced headwinds from interest rate pressure on lending volumes</w:t>
      </w:r>
      <w:r>
        <w:rPr>
          <w:rFonts w:ascii="Calibri" w:hAnsi="Calibri"/>
          <w:color w:val="525866"/>
          <w:sz w:val="22"/>
        </w:rPr>
        <w:t xml:space="preserve"> — not directly relevant to CPAY but reflects the broader rate environment that has compressed CPAY’s float revenue.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Strong demand for fraud and data capabilities</w:t>
      </w:r>
      <w:r>
        <w:rPr>
          <w:rFonts w:ascii="Calibri" w:hAnsi="Calibri"/>
          <w:color w:val="525866"/>
          <w:sz w:val="22"/>
        </w:rPr>
        <w:t>, with AI adoption accelerating across the business — consistent with CPAY’s AI investment narrative and product roadmap.</w:t>
      </w:r>
    </w:p>
    <w:p>
      <w:pPr>
        <w:pStyle w:val="ListBullet"/>
        <w:ind w:left="360" w:hanging="360"/>
      </w:pPr>
      <w:r>
        <w:rPr>
          <w:rFonts w:ascii="Calibri" w:hAnsi="Calibri"/>
          <w:b/>
          <w:color w:val="525866"/>
          <w:sz w:val="22"/>
        </w:rPr>
        <w:t>FIS evaluating strategic alternatives for select capital markets products</w:t>
      </w:r>
      <w:r>
        <w:rPr>
          <w:rFonts w:ascii="Calibri" w:hAnsi="Calibri"/>
          <w:color w:val="525866"/>
          <w:sz w:val="22"/>
        </w:rPr>
        <w:t xml:space="preserve"> — ongoing industry consolidation/rationalization in financial technology; could create M&amp;A opportunities for CPAY in corporate payments.</w:t>
      </w:r>
    </w:p>
    <w:p>
      <w:r>
        <w:rPr>
          <w:rFonts w:ascii="Calibri" w:hAnsi="Calibri"/>
          <w:i/>
          <w:color w:val="525866"/>
          <w:sz w:val="22"/>
        </w:rPr>
        <w:t>Sources: WEX Q2 2026 Earnings Call (July 23, 2026); Mastercard Q2 2026 Earnings Call (July 30, 2026); Visa Fiscal Q3 2026 Earnings Call (July 28, 2026); FIS Q2 2026 Earnings Call (August 4, 2026).</w:t>
      </w:r>
    </w:p>
    <w:sectPr w:rsidR="00FC693F" w:rsidRPr="0006063C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rPr>
        <w:rFonts w:ascii="Calibri" w:hAnsi="Calibri"/>
        <w:i/>
        <w:color w:val="525866"/>
        <w:sz w:val="20"/>
      </w:rPr>
      <w:t>We do the work, you make the call</w:t>
    </w:r>
    <w:r>
      <w:tab/>
    </w:r>
    <w:r>
      <w:rPr>
        <w:rFonts w:ascii="Calibri" w:hAnsi="Calibri"/>
        <w:i/>
        <w:color w:val="FB9120"/>
        <w:sz w:val="20"/>
      </w:rPr>
      <w:t>app.implied.com/trial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tabs>
        <w:tab w:pos="8640" w:val="right"/>
      </w:tabs>
      <w:spacing w:before="0" w:after="0" w:line="240" w:lineRule="auto"/>
      <w:jc w:val="left"/>
    </w:pPr>
    <w:r>
      <w:drawing>
        <wp:inline xmlns:a="http://schemas.openxmlformats.org/drawingml/2006/main" xmlns:pic="http://schemas.openxmlformats.org/drawingml/2006/picture">
          <wp:extent cx="5486400" cy="27432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mpliedPromotional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27432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