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Corpay, Inc. (CPAY)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Corpay, Inc.</w:t>
            </w:r>
          </w:p>
        </w:tc>
      </w:tr>
      <w:tr>
        <w:tc>
          <w:tcPr>
            <w:tcW w:type="dxa" w:w="4320"/>
          </w:tcPr>
          <w:p>
            <w:r>
              <w:rPr>
                <w:rFonts w:ascii="Calibri" w:hAnsi="Calibri"/>
                <w:b/>
                <w:sz w:val="22"/>
              </w:rPr>
              <w:t>Ticker</w:t>
            </w:r>
          </w:p>
        </w:tc>
        <w:tc>
          <w:tcPr>
            <w:tcW w:type="dxa" w:w="4320"/>
          </w:tcPr>
          <w:p>
            <w:r>
              <w:rPr>
                <w:rFonts w:ascii="Calibri" w:hAnsi="Calibri"/>
                <w:sz w:val="22"/>
              </w:rPr>
              <w:t>CPAY (NYSE)</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 (after market close)</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Sector ETF Benchmark</w:t>
            </w:r>
          </w:p>
        </w:tc>
        <w:tc>
          <w:tcPr>
            <w:tcW w:type="dxa" w:w="4320"/>
          </w:tcPr>
          <w:p>
            <w:r>
              <w:rPr>
                <w:rFonts w:ascii="Calibri" w:hAnsi="Calibri"/>
                <w:sz w:val="22"/>
              </w:rPr>
              <w:t>IPAY (ETF Managers Group ETFMG Prime Mobile Payments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leans toward a beat — consensus has drifted only modestly higher since the Q1 print, the bar on organic growth (~10%) is achievable given four consecutive quarters of 11%, and management's own Q2 guidance midpoint of $6.55 EPS / $1.295B revenue sits below current consensus of $6.60 / $1.302B, leaving a thin but real cushion. The single biggest swing factor is </w:t>
      </w:r>
      <w:r>
        <w:rPr>
          <w:rFonts w:ascii="Calibri" w:hAnsi="Calibri"/>
          <w:b/>
          <w:color w:val="525866"/>
          <w:sz w:val="22"/>
        </w:rPr>
        <w:t>Corporate Payments organic growth</w:t>
      </w:r>
      <w:r>
        <w:rPr>
          <w:rFonts w:ascii="Calibri" w:hAnsi="Calibri"/>
          <w:color w:val="525866"/>
          <w:sz w:val="22"/>
        </w:rPr>
        <w:t xml:space="preserve"> and whether the Alpha platform migration (targeted July/August) unlocks the back-half synergy ramp management has been signaling.</w:t>
      </w:r>
    </w:p>
    <w:p>
      <w:r>
        <w:rPr>
          <w:rFonts w:ascii="Calibri" w:hAnsi="Calibri"/>
          <w:color w:val="525866"/>
          <w:sz w:val="22"/>
        </w:rPr>
        <w:t xml:space="preserve">Heading into Q2 2026 results, the bar for Corpay is firm but not stretched: consensus sits at $1.302B revenue (+18% YoY) and $6.60 adjusted EPS (+28% YoY), both modestly above management's own guidance midpoints, implying the Street has already baked in a small beat. </w:t>
      </w:r>
      <w:r>
        <w:rPr>
          <w:rFonts w:ascii="Calibri" w:hAnsi="Calibri"/>
          <w:b/>
          <w:color w:val="525866"/>
          <w:sz w:val="22"/>
        </w:rPr>
        <w:t>Organic revenue growth of ~10% is the most-watched metric</w:t>
      </w:r>
      <w:r>
        <w:rPr>
          <w:rFonts w:ascii="Calibri" w:hAnsi="Calibri"/>
          <w:color w:val="525866"/>
          <w:sz w:val="22"/>
        </w:rPr>
        <w:t xml:space="preserve"> and the company has delivered exactly 11% for four straight quarters, so any deceleration below 9% would be a negative surprise while a fifth consecutive 11%+ print would be a clear positive. Management's tone since the May 7 earnings call has been consistently confident — the Morgan Stanley conference (June 9) reiterated the revised '10-13-24' EPS growth algorithm and the cross-border teach-in (May 13) reinforced high-teens organic growth visibility in that segment — with no guidance revisions or cautionary signals in the interim. Estimate revisions have been constructive but shallow: Q2 EPS consensus has risen from $6.57 to $6.60 since the post-print baseline, and FY2026 EPS has been essentially flat at ~$26.79, suggesting the Street is waiting for the print rather than pre-positioning aggressively. </w:t>
      </w:r>
      <w:r>
        <w:rPr>
          <w:rFonts w:ascii="Calibri" w:hAnsi="Calibri"/>
          <w:b/>
          <w:color w:val="525866"/>
          <w:sz w:val="22"/>
        </w:rPr>
        <w:t>The stock has re-rated sharply since the Q1 print (+25% from $305.75 to ~$385), compressing the margin of safety</w:t>
      </w:r>
      <w:r>
        <w:rPr>
          <w:rFonts w:ascii="Calibri" w:hAnsi="Calibri"/>
          <w:color w:val="525866"/>
          <w:sz w:val="22"/>
        </w:rPr>
        <w:t xml:space="preserve"> and raising the bar for a positive reaction — the stock now trades at ~13x NTM P/E, still below historical averages but no longer deeply discounted. The key wildcard is the </w:t>
      </w:r>
      <w:r>
        <w:rPr>
          <w:rFonts w:ascii="Calibri" w:hAnsi="Calibri"/>
          <w:b/>
          <w:color w:val="525866"/>
          <w:sz w:val="22"/>
        </w:rPr>
        <w:t>Alpha platform migration timeline</w:t>
      </w:r>
      <w:r>
        <w:rPr>
          <w:rFonts w:ascii="Calibri" w:hAnsi="Calibri"/>
          <w:color w:val="525866"/>
          <w:sz w:val="22"/>
        </w:rPr>
        <w:t>: if the system consolidation completes on schedule in July/August, management expects a meaningful acceleration in cross-border synergies (geographic expansion into the US and Australia, cost takeout from shutting down Alpha's legacy system, and new risk management revenue) that could drive upside to both Q2 and the H2 2026 ramp — but any slip in the migration would be a negative catalyst given how prominently it has been featured in investor communications.</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not stretched, but not low either. </w:t>
      </w:r>
      <w:r>
        <w:rPr>
          <w:rFonts w:ascii="Calibri" w:hAnsi="Calibri"/>
          <w:b/>
          <w:color w:val="525866"/>
          <w:sz w:val="22"/>
        </w:rPr>
        <w:t>Corporate Payments organic growth is the bigger swing factor</w:t>
      </w:r>
      <w:r>
        <w:rPr>
          <w:rFonts w:ascii="Calibri" w:hAnsi="Calibri"/>
          <w:color w:val="525866"/>
          <w:sz w:val="22"/>
        </w:rPr>
        <w:t>: consensus expects ~15% vs. 16% last quarter, and any re-acceleration toward 18%+ (ex-float) would be a positive catalyst. EPS consensus of $6.60 sits just $0.05 above management's $6.55 midpoint, leaving limited room for error on the cost side.</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 Δ)</w:t>
            </w:r>
          </w:p>
        </w:tc>
      </w:tr>
      <w:tr>
        <w:tc>
          <w:tcPr>
            <w:tcW w:type="dxa" w:w="1234"/>
          </w:tcPr>
          <w:p>
            <w:r>
              <w:rPr>
                <w:rFonts w:ascii="Calibri" w:hAnsi="Calibri"/>
                <w:sz w:val="22"/>
              </w:rPr>
              <w:t>Revenue ($B)</w:t>
            </w:r>
          </w:p>
        </w:tc>
        <w:tc>
          <w:tcPr>
            <w:tcW w:type="dxa" w:w="1234"/>
          </w:tcPr>
          <w:p>
            <w:r>
              <w:rPr>
                <w:rFonts w:ascii="Calibri" w:hAnsi="Calibri"/>
                <w:sz w:val="22"/>
              </w:rPr>
              <w:t>$1.261B</w:t>
            </w:r>
          </w:p>
        </w:tc>
        <w:tc>
          <w:tcPr>
            <w:tcW w:type="dxa" w:w="1234"/>
          </w:tcPr>
          <w:p>
            <w:r>
              <w:rPr>
                <w:rFonts w:ascii="Calibri" w:hAnsi="Calibri"/>
                <w:sz w:val="22"/>
              </w:rPr>
              <w:t>$1.102B</w:t>
            </w:r>
          </w:p>
        </w:tc>
        <w:tc>
          <w:tcPr>
            <w:tcW w:type="dxa" w:w="1234"/>
          </w:tcPr>
          <w:p>
            <w:r>
              <w:rPr>
                <w:rFonts w:ascii="Calibri" w:hAnsi="Calibri"/>
                <w:sz w:val="22"/>
              </w:rPr>
              <w:t>$1.302B</w:t>
            </w:r>
          </w:p>
        </w:tc>
        <w:tc>
          <w:tcPr>
            <w:tcW w:type="dxa" w:w="1234"/>
          </w:tcPr>
          <w:p>
            <w:r>
              <w:rPr>
                <w:rFonts w:ascii="Calibri" w:hAnsi="Calibri"/>
                <w:sz w:val="22"/>
              </w:rPr>
              <w:t>+18.1%</w:t>
            </w:r>
          </w:p>
        </w:tc>
        <w:tc>
          <w:tcPr>
            <w:tcW w:type="dxa" w:w="1234"/>
          </w:tcPr>
          <w:p>
            <w:r>
              <w:rPr>
                <w:rFonts w:ascii="Calibri" w:hAnsi="Calibri"/>
                <w:sz w:val="22"/>
              </w:rPr>
              <w:t>$1.295B (midpoint)</w:t>
            </w:r>
          </w:p>
        </w:tc>
        <w:tc>
          <w:tcPr>
            <w:tcW w:type="dxa" w:w="1234"/>
          </w:tcPr>
          <w:p>
            <w:r>
              <w:rPr>
                <w:rFonts w:ascii="Calibri" w:hAnsi="Calibri"/>
                <w:sz w:val="22"/>
              </w:rPr>
              <w:t>+0.5%</w:t>
            </w:r>
          </w:p>
        </w:tc>
      </w:tr>
      <w:tr>
        <w:tc>
          <w:tcPr>
            <w:tcW w:type="dxa" w:w="1234"/>
          </w:tcPr>
          <w:p>
            <w:r>
              <w:rPr>
                <w:rFonts w:ascii="Calibri" w:hAnsi="Calibri"/>
                <w:sz w:val="22"/>
              </w:rPr>
              <w:t>Adjusted EPS (Diluted)</w:t>
            </w:r>
          </w:p>
        </w:tc>
        <w:tc>
          <w:tcPr>
            <w:tcW w:type="dxa" w:w="1234"/>
          </w:tcPr>
          <w:p>
            <w:r>
              <w:rPr>
                <w:rFonts w:ascii="Calibri" w:hAnsi="Calibri"/>
                <w:sz w:val="22"/>
              </w:rPr>
              <w:t>$5.80</w:t>
            </w:r>
          </w:p>
        </w:tc>
        <w:tc>
          <w:tcPr>
            <w:tcW w:type="dxa" w:w="1234"/>
          </w:tcPr>
          <w:p>
            <w:r>
              <w:rPr>
                <w:rFonts w:ascii="Calibri" w:hAnsi="Calibri"/>
                <w:sz w:val="22"/>
              </w:rPr>
              <w:t>$5.13</w:t>
            </w:r>
          </w:p>
        </w:tc>
        <w:tc>
          <w:tcPr>
            <w:tcW w:type="dxa" w:w="1234"/>
          </w:tcPr>
          <w:p>
            <w:r>
              <w:rPr>
                <w:rFonts w:ascii="Calibri" w:hAnsi="Calibri"/>
                <w:sz w:val="22"/>
              </w:rPr>
              <w:t>$6.60</w:t>
            </w:r>
          </w:p>
        </w:tc>
        <w:tc>
          <w:tcPr>
            <w:tcW w:type="dxa" w:w="1234"/>
          </w:tcPr>
          <w:p>
            <w:r>
              <w:rPr>
                <w:rFonts w:ascii="Calibri" w:hAnsi="Calibri"/>
                <w:sz w:val="22"/>
              </w:rPr>
              <w:t>+28.7%</w:t>
            </w:r>
          </w:p>
        </w:tc>
        <w:tc>
          <w:tcPr>
            <w:tcW w:type="dxa" w:w="1234"/>
          </w:tcPr>
          <w:p>
            <w:r>
              <w:rPr>
                <w:rFonts w:ascii="Calibri" w:hAnsi="Calibri"/>
                <w:sz w:val="22"/>
              </w:rPr>
              <w:t>$6.55 (midpoint)</w:t>
            </w:r>
          </w:p>
        </w:tc>
        <w:tc>
          <w:tcPr>
            <w:tcW w:type="dxa" w:w="1234"/>
          </w:tcPr>
          <w:p>
            <w:r>
              <w:rPr>
                <w:rFonts w:ascii="Calibri" w:hAnsi="Calibri"/>
                <w:sz w:val="22"/>
              </w:rPr>
              <w:t>+0.8%</w:t>
            </w:r>
          </w:p>
        </w:tc>
      </w:tr>
      <w:tr>
        <w:tc>
          <w:tcPr>
            <w:tcW w:type="dxa" w:w="1234"/>
          </w:tcPr>
          <w:p>
            <w:r>
              <w:rPr>
                <w:rFonts w:ascii="Calibri" w:hAnsi="Calibri"/>
                <w:sz w:val="22"/>
              </w:rPr>
              <w:t>Organic Revenue Growth (%)</w:t>
            </w:r>
          </w:p>
        </w:tc>
        <w:tc>
          <w:tcPr>
            <w:tcW w:type="dxa" w:w="1234"/>
          </w:tcPr>
          <w:p>
            <w:r>
              <w:rPr>
                <w:rFonts w:ascii="Calibri" w:hAnsi="Calibri"/>
                <w:sz w:val="22"/>
              </w:rPr>
              <w:t>11%</w:t>
            </w:r>
          </w:p>
        </w:tc>
        <w:tc>
          <w:tcPr>
            <w:tcW w:type="dxa" w:w="1234"/>
          </w:tcPr>
          <w:p>
            <w:r>
              <w:rPr>
                <w:rFonts w:ascii="Calibri" w:hAnsi="Calibri"/>
                <w:sz w:val="22"/>
              </w:rPr>
              <w:t>11%</w:t>
            </w:r>
          </w:p>
        </w:tc>
        <w:tc>
          <w:tcPr>
            <w:tcW w:type="dxa" w:w="1234"/>
          </w:tcPr>
          <w:p>
            <w:r>
              <w:rPr>
                <w:rFonts w:ascii="Calibri" w:hAnsi="Calibri"/>
                <w:sz w:val="22"/>
              </w:rPr>
              <w:t>~10.2%</w:t>
            </w:r>
          </w:p>
        </w:tc>
        <w:tc>
          <w:tcPr>
            <w:tcW w:type="dxa" w:w="1234"/>
          </w:tcPr>
          <w:p>
            <w:r>
              <w:rPr>
                <w:rFonts w:ascii="Calibri" w:hAnsi="Calibri"/>
                <w:sz w:val="22"/>
              </w:rPr>
              <w:t>-0.8 pts</w:t>
            </w:r>
          </w:p>
        </w:tc>
        <w:tc>
          <w:tcPr>
            <w:tcW w:type="dxa" w:w="1234"/>
          </w:tcPr>
          <w:p>
            <w:r>
              <w:rPr>
                <w:rFonts w:ascii="Calibri" w:hAnsi="Calibri"/>
                <w:sz w:val="22"/>
              </w:rPr>
              <w:t>9–11% range</w:t>
            </w:r>
          </w:p>
        </w:tc>
        <w:tc>
          <w:tcPr>
            <w:tcW w:type="dxa" w:w="1234"/>
          </w:tcPr>
          <w:p>
            <w:r>
              <w:rPr>
                <w:rFonts w:ascii="Calibri" w:hAnsi="Calibri"/>
                <w:sz w:val="22"/>
              </w:rPr>
              <w:t>~+0.2 pts vs. midpoint</w:t>
            </w:r>
          </w:p>
        </w:tc>
      </w:tr>
      <w:tr>
        <w:tc>
          <w:tcPr>
            <w:tcW w:type="dxa" w:w="1234"/>
          </w:tcPr>
          <w:p>
            <w:r>
              <w:rPr>
                <w:rFonts w:ascii="Calibri" w:hAnsi="Calibri"/>
                <w:sz w:val="22"/>
              </w:rPr>
              <w:t>Corp. Payments Organic Growth (%)</w:t>
            </w:r>
          </w:p>
        </w:tc>
        <w:tc>
          <w:tcPr>
            <w:tcW w:type="dxa" w:w="1234"/>
          </w:tcPr>
          <w:p>
            <w:r>
              <w:rPr>
                <w:rFonts w:ascii="Calibri" w:hAnsi="Calibri"/>
                <w:sz w:val="22"/>
              </w:rPr>
              <w:t>16%</w:t>
            </w:r>
          </w:p>
        </w:tc>
        <w:tc>
          <w:tcPr>
            <w:tcW w:type="dxa" w:w="1234"/>
          </w:tcPr>
          <w:p>
            <w:r>
              <w:rPr>
                <w:rFonts w:ascii="Calibri" w:hAnsi="Calibri"/>
                <w:sz w:val="22"/>
              </w:rPr>
              <w:t>19%</w:t>
            </w:r>
          </w:p>
        </w:tc>
        <w:tc>
          <w:tcPr>
            <w:tcW w:type="dxa" w:w="1234"/>
          </w:tcPr>
          <w:p>
            <w:r>
              <w:rPr>
                <w:rFonts w:ascii="Calibri" w:hAnsi="Calibri"/>
                <w:sz w:val="22"/>
              </w:rPr>
              <w:t>~15.2%</w:t>
            </w:r>
          </w:p>
        </w:tc>
        <w:tc>
          <w:tcPr>
            <w:tcW w:type="dxa" w:w="1234"/>
          </w:tcPr>
          <w:p>
            <w:r>
              <w:rPr>
                <w:rFonts w:ascii="Calibri" w:hAnsi="Calibri"/>
                <w:sz w:val="22"/>
              </w:rPr>
              <w:t>-3.8 pts</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Vehicle Payments Organic Growth (%)</w:t>
            </w:r>
          </w:p>
        </w:tc>
        <w:tc>
          <w:tcPr>
            <w:tcW w:type="dxa" w:w="1234"/>
          </w:tcPr>
          <w:p>
            <w:r>
              <w:rPr>
                <w:rFonts w:ascii="Calibri" w:hAnsi="Calibri"/>
                <w:sz w:val="22"/>
              </w:rPr>
              <w:t>10%</w:t>
            </w:r>
          </w:p>
        </w:tc>
        <w:tc>
          <w:tcPr>
            <w:tcW w:type="dxa" w:w="1234"/>
          </w:tcPr>
          <w:p>
            <w:r>
              <w:rPr>
                <w:rFonts w:ascii="Calibri" w:hAnsi="Calibri"/>
                <w:sz w:val="22"/>
              </w:rPr>
              <w:t>9%</w:t>
            </w:r>
          </w:p>
        </w:tc>
        <w:tc>
          <w:tcPr>
            <w:tcW w:type="dxa" w:w="1234"/>
          </w:tcPr>
          <w:p>
            <w:r>
              <w:rPr>
                <w:rFonts w:ascii="Calibri" w:hAnsi="Calibri"/>
                <w:sz w:val="22"/>
              </w:rPr>
              <w:t>~8.2%</w:t>
            </w:r>
          </w:p>
        </w:tc>
        <w:tc>
          <w:tcPr>
            <w:tcW w:type="dxa" w:w="1234"/>
          </w:tcPr>
          <w:p>
            <w:r>
              <w:rPr>
                <w:rFonts w:ascii="Calibri" w:hAnsi="Calibri"/>
                <w:sz w:val="22"/>
              </w:rPr>
              <w:t>-0.8 pts</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EBITDA (Company-Defined, $M)</w:t>
            </w:r>
          </w:p>
        </w:tc>
        <w:tc>
          <w:tcPr>
            <w:tcW w:type="dxa" w:w="1234"/>
          </w:tcPr>
          <w:p>
            <w:r>
              <w:rPr>
                <w:rFonts w:ascii="Calibri" w:hAnsi="Calibri"/>
                <w:sz w:val="22"/>
              </w:rPr>
              <w:t>$636.9M</w:t>
            </w:r>
          </w:p>
        </w:tc>
        <w:tc>
          <w:tcPr>
            <w:tcW w:type="dxa" w:w="1234"/>
          </w:tcPr>
          <w:p>
            <w:r>
              <w:rPr>
                <w:rFonts w:ascii="Calibri" w:hAnsi="Calibri"/>
                <w:sz w:val="22"/>
              </w:rPr>
              <w:t>$570.7M</w:t>
            </w:r>
          </w:p>
        </w:tc>
        <w:tc>
          <w:tcPr>
            <w:tcW w:type="dxa" w:w="1234"/>
          </w:tcPr>
          <w:p>
            <w:r>
              <w:rPr>
                <w:rFonts w:ascii="Calibri" w:hAnsi="Calibri"/>
                <w:sz w:val="22"/>
              </w:rPr>
              <w:t>$658.7M</w:t>
            </w:r>
          </w:p>
        </w:tc>
        <w:tc>
          <w:tcPr>
            <w:tcW w:type="dxa" w:w="1234"/>
          </w:tcPr>
          <w:p>
            <w:r>
              <w:rPr>
                <w:rFonts w:ascii="Calibri" w:hAnsi="Calibri"/>
                <w:sz w:val="22"/>
              </w:rPr>
              <w:t>+15.4%</w:t>
            </w:r>
          </w:p>
        </w:tc>
        <w:tc>
          <w:tcPr>
            <w:tcW w:type="dxa" w:w="1234"/>
          </w:tcPr>
          <w:p>
            <w:r>
              <w:rPr>
                <w:rFonts w:ascii="Calibri" w:hAnsi="Calibri"/>
                <w:sz w:val="22"/>
              </w:rPr>
              <w:t>Not separately guided</w:t>
            </w:r>
          </w:p>
        </w:tc>
        <w:tc>
          <w:tcPr>
            <w:tcW w:type="dxa" w:w="1234"/>
          </w:tcPr>
          <w:p>
            <w:r>
              <w:rPr>
                <w:rFonts w:ascii="Calibri" w:hAnsi="Calibri"/>
                <w:sz w:val="22"/>
              </w:rPr>
              <w:t>N/A</w:t>
            </w:r>
          </w:p>
        </w:tc>
      </w:tr>
    </w:tbl>
    <w:p>
      <w:r>
        <w:rPr>
          <w:rFonts w:ascii="Calibri" w:hAnsi="Calibri"/>
          <w:i/>
          <w:color w:val="525866"/>
          <w:sz w:val="22"/>
        </w:rPr>
        <w:t>Sources: Visible Alpha Consensus and Actuals Data</w:t>
      </w:r>
      <w:r>
        <w:rPr>
          <w:rFonts w:ascii="Calibri" w:hAnsi="Calibri"/>
          <w:color w:val="525866"/>
          <w:sz w:val="22"/>
        </w:rPr>
        <w:t xml:space="preserve"> (Revenue, EPS, Organic Growth, EBITDA); Q1 2026 Earnings Call (May 7, 2026) for management guidance midpoints. All consensus figures as of August 4,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$1.261B</w:t>
            </w:r>
          </w:p>
        </w:tc>
        <w:tc>
          <w:tcPr>
            <w:tcW w:type="dxa" w:w="1440"/>
          </w:tcPr>
          <w:p>
            <w:r>
              <w:rPr>
                <w:rFonts w:ascii="Calibri" w:hAnsi="Calibri"/>
                <w:sz w:val="22"/>
              </w:rPr>
              <w:t>$1.214B</w:t>
            </w:r>
          </w:p>
        </w:tc>
        <w:tc>
          <w:tcPr>
            <w:tcW w:type="dxa" w:w="1440"/>
          </w:tcPr>
          <w:p>
            <w:r>
              <w:rPr>
                <w:rFonts w:ascii="Calibri" w:hAnsi="Calibri"/>
                <w:b/>
                <w:color w:val="30A46C"/>
                <w:sz w:val="22"/>
              </w:rPr>
              <w:t>+3.9%</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$5.80</w:t>
            </w:r>
          </w:p>
        </w:tc>
        <w:tc>
          <w:tcPr>
            <w:tcW w:type="dxa" w:w="1440"/>
          </w:tcPr>
          <w:p>
            <w:r>
              <w:rPr>
                <w:rFonts w:ascii="Calibri" w:hAnsi="Calibri"/>
                <w:sz w:val="22"/>
              </w:rPr>
              <w:t>$5.48</w:t>
            </w:r>
          </w:p>
        </w:tc>
        <w:tc>
          <w:tcPr>
            <w:tcW w:type="dxa" w:w="1440"/>
          </w:tcPr>
          <w:p>
            <w:r>
              <w:rPr>
                <w:rFonts w:ascii="Calibri" w:hAnsi="Calibri"/>
                <w:b/>
                <w:color w:val="30A46C"/>
                <w:sz w:val="22"/>
              </w:rPr>
              <w:t>+5.8%</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$1.248B</w:t>
            </w:r>
          </w:p>
        </w:tc>
        <w:tc>
          <w:tcPr>
            <w:tcW w:type="dxa" w:w="1440"/>
          </w:tcPr>
          <w:p>
            <w:r>
              <w:rPr>
                <w:rFonts w:ascii="Calibri" w:hAnsi="Calibri"/>
                <w:sz w:val="22"/>
              </w:rPr>
              <w:t>$1.239B</w:t>
            </w:r>
          </w:p>
        </w:tc>
        <w:tc>
          <w:tcPr>
            <w:tcW w:type="dxa" w:w="1440"/>
          </w:tcPr>
          <w:p>
            <w:r>
              <w:rPr>
                <w:rFonts w:ascii="Calibri" w:hAnsi="Calibri"/>
                <w:b/>
                <w:color w:val="30A46C"/>
                <w:sz w:val="22"/>
              </w:rPr>
              <w:t>+0.7%</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$6.04</w:t>
            </w:r>
          </w:p>
        </w:tc>
        <w:tc>
          <w:tcPr>
            <w:tcW w:type="dxa" w:w="1440"/>
          </w:tcPr>
          <w:p>
            <w:r>
              <w:rPr>
                <w:rFonts w:ascii="Calibri" w:hAnsi="Calibri"/>
                <w:sz w:val="22"/>
              </w:rPr>
              <w:t>$5.96</w:t>
            </w:r>
          </w:p>
        </w:tc>
        <w:tc>
          <w:tcPr>
            <w:tcW w:type="dxa" w:w="1440"/>
          </w:tcPr>
          <w:p>
            <w:r>
              <w:rPr>
                <w:rFonts w:ascii="Calibri" w:hAnsi="Calibri"/>
                <w:b/>
                <w:color w:val="30A46C"/>
                <w:sz w:val="22"/>
              </w:rPr>
              <w:t>+1.3%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$1.172B</w:t>
            </w:r>
          </w:p>
        </w:tc>
        <w:tc>
          <w:tcPr>
            <w:tcW w:type="dxa" w:w="1440"/>
          </w:tcPr>
          <w:p>
            <w:r>
              <w:rPr>
                <w:rFonts w:ascii="Calibri" w:hAnsi="Calibri"/>
                <w:sz w:val="22"/>
              </w:rPr>
              <w:t>$1.165B</w:t>
            </w:r>
          </w:p>
        </w:tc>
        <w:tc>
          <w:tcPr>
            <w:tcW w:type="dxa" w:w="1440"/>
          </w:tcPr>
          <w:p>
            <w:r>
              <w:rPr>
                <w:rFonts w:ascii="Calibri" w:hAnsi="Calibri"/>
                <w:b/>
                <w:color w:val="30A46C"/>
                <w:sz w:val="22"/>
              </w:rPr>
              <w:t>+0.6%</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$5.70</w:t>
            </w:r>
          </w:p>
        </w:tc>
        <w:tc>
          <w:tcPr>
            <w:tcW w:type="dxa" w:w="1440"/>
          </w:tcPr>
          <w:p>
            <w:r>
              <w:rPr>
                <w:rFonts w:ascii="Calibri" w:hAnsi="Calibri"/>
                <w:sz w:val="22"/>
              </w:rPr>
              <w:t>$5.64</w:t>
            </w:r>
          </w:p>
        </w:tc>
        <w:tc>
          <w:tcPr>
            <w:tcW w:type="dxa" w:w="1440"/>
          </w:tcPr>
          <w:p>
            <w:r>
              <w:rPr>
                <w:rFonts w:ascii="Calibri" w:hAnsi="Calibri"/>
                <w:b/>
                <w:color w:val="30A46C"/>
                <w:sz w:val="22"/>
              </w:rPr>
              <w:t>+1.1%</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$1.102B</w:t>
            </w:r>
          </w:p>
        </w:tc>
        <w:tc>
          <w:tcPr>
            <w:tcW w:type="dxa" w:w="1440"/>
          </w:tcPr>
          <w:p>
            <w:r>
              <w:rPr>
                <w:rFonts w:ascii="Calibri" w:hAnsi="Calibri"/>
                <w:sz w:val="22"/>
              </w:rPr>
              <w:t>$1.100B</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$5.13</w:t>
            </w:r>
          </w:p>
        </w:tc>
        <w:tc>
          <w:tcPr>
            <w:tcW w:type="dxa" w:w="1440"/>
          </w:tcPr>
          <w:p>
            <w:r>
              <w:rPr>
                <w:rFonts w:ascii="Calibri" w:hAnsi="Calibri"/>
                <w:sz w:val="22"/>
              </w:rPr>
              <w:t>$5.12</w:t>
            </w:r>
          </w:p>
        </w:tc>
        <w:tc>
          <w:tcPr>
            <w:tcW w:type="dxa" w:w="1440"/>
          </w:tcPr>
          <w:p>
            <w:r>
              <w:rPr>
                <w:rFonts w:ascii="Calibri" w:hAnsi="Calibri"/>
                <w:b/>
                <w:color w:val="30A46C"/>
                <w:sz w:val="22"/>
              </w:rPr>
              <w:t>+0.2%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Revenue</w:t>
            </w:r>
          </w:p>
        </w:tc>
        <w:tc>
          <w:tcPr>
            <w:tcW w:type="dxa" w:w="1440"/>
          </w:tcPr>
          <w:p>
            <w:r>
              <w:rPr>
                <w:rFonts w:ascii="Calibri" w:hAnsi="Calibri"/>
                <w:sz w:val="22"/>
              </w:rPr>
              <w:t>$1.006B</w:t>
            </w:r>
          </w:p>
        </w:tc>
        <w:tc>
          <w:tcPr>
            <w:tcW w:type="dxa" w:w="1440"/>
          </w:tcPr>
          <w:p>
            <w:r>
              <w:rPr>
                <w:rFonts w:ascii="Calibri" w:hAnsi="Calibri"/>
                <w:sz w:val="22"/>
              </w:rPr>
              <w:t>$1.012B</w:t>
            </w:r>
          </w:p>
        </w:tc>
        <w:tc>
          <w:tcPr>
            <w:tcW w:type="dxa" w:w="1440"/>
          </w:tcPr>
          <w:p>
            <w:r>
              <w:rPr>
                <w:rFonts w:ascii="Calibri" w:hAnsi="Calibri"/>
                <w:b/>
                <w:color w:val="E5484D"/>
                <w:sz w:val="22"/>
              </w:rPr>
              <w:t>-0.6%</w:t>
            </w:r>
          </w:p>
        </w:tc>
        <w:tc>
          <w:tcPr>
            <w:tcW w:type="dxa" w:w="1440"/>
          </w:tcPr>
          <w:p>
            <w:r>
              <w:rPr>
                <w:rFonts w:ascii="Calibri" w:hAnsi="Calibri"/>
                <w:sz w:val="22"/>
              </w:rPr>
              <w:t>Miss</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$4.51</w:t>
            </w:r>
          </w:p>
        </w:tc>
        <w:tc>
          <w:tcPr>
            <w:tcW w:type="dxa" w:w="1440"/>
          </w:tcPr>
          <w:p>
            <w:r>
              <w:rPr>
                <w:rFonts w:ascii="Calibri" w:hAnsi="Calibri"/>
                <w:sz w:val="22"/>
              </w:rPr>
              <w:t>$4.51</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Q4 2024</w:t>
            </w:r>
          </w:p>
        </w:tc>
        <w:tc>
          <w:tcPr>
            <w:tcW w:type="dxa" w:w="1440"/>
          </w:tcPr>
          <w:p>
            <w:r>
              <w:rPr>
                <w:rFonts w:ascii="Calibri" w:hAnsi="Calibri"/>
                <w:sz w:val="22"/>
              </w:rPr>
              <w:t>Revenue</w:t>
            </w:r>
          </w:p>
        </w:tc>
        <w:tc>
          <w:tcPr>
            <w:tcW w:type="dxa" w:w="1440"/>
          </w:tcPr>
          <w:p>
            <w:r>
              <w:rPr>
                <w:rFonts w:ascii="Calibri" w:hAnsi="Calibri"/>
                <w:sz w:val="22"/>
              </w:rPr>
              <w:t>$1.034B</w:t>
            </w:r>
          </w:p>
        </w:tc>
        <w:tc>
          <w:tcPr>
            <w:tcW w:type="dxa" w:w="1440"/>
          </w:tcPr>
          <w:p>
            <w:r>
              <w:rPr>
                <w:rFonts w:ascii="Calibri" w:hAnsi="Calibri"/>
                <w:sz w:val="22"/>
              </w:rPr>
              <w:t>$1.063B</w:t>
            </w:r>
          </w:p>
        </w:tc>
        <w:tc>
          <w:tcPr>
            <w:tcW w:type="dxa" w:w="1440"/>
          </w:tcPr>
          <w:p>
            <w:r>
              <w:rPr>
                <w:rFonts w:ascii="Calibri" w:hAnsi="Calibri"/>
                <w:b/>
                <w:color w:val="E5484D"/>
                <w:sz w:val="22"/>
              </w:rPr>
              <w:t>-2.7%</w:t>
            </w:r>
          </w:p>
        </w:tc>
        <w:tc>
          <w:tcPr>
            <w:tcW w:type="dxa" w:w="1440"/>
          </w:tcPr>
          <w:p>
            <w:r>
              <w:rPr>
                <w:rFonts w:ascii="Calibri" w:hAnsi="Calibri"/>
                <w:sz w:val="22"/>
              </w:rPr>
              <w:t>Miss</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$5.36</w:t>
            </w:r>
          </w:p>
        </w:tc>
        <w:tc>
          <w:tcPr>
            <w:tcW w:type="dxa" w:w="1440"/>
          </w:tcPr>
          <w:p>
            <w:r>
              <w:rPr>
                <w:rFonts w:ascii="Calibri" w:hAnsi="Calibri"/>
                <w:sz w:val="22"/>
              </w:rPr>
              <w:t>$5.48</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Revenue</w:t>
            </w:r>
          </w:p>
        </w:tc>
        <w:tc>
          <w:tcPr>
            <w:tcW w:type="dxa" w:w="1440"/>
          </w:tcPr>
          <w:p>
            <w:r>
              <w:rPr>
                <w:rFonts w:ascii="Calibri" w:hAnsi="Calibri"/>
                <w:sz w:val="22"/>
              </w:rPr>
              <w:t>$1.029B</w:t>
            </w:r>
          </w:p>
        </w:tc>
        <w:tc>
          <w:tcPr>
            <w:tcW w:type="dxa" w:w="1440"/>
          </w:tcPr>
          <w:p>
            <w:r>
              <w:rPr>
                <w:rFonts w:ascii="Calibri" w:hAnsi="Calibri"/>
                <w:sz w:val="22"/>
              </w:rPr>
              <w:t>$1.026B</w:t>
            </w:r>
          </w:p>
        </w:tc>
        <w:tc>
          <w:tcPr>
            <w:tcW w:type="dxa" w:w="1440"/>
          </w:tcPr>
          <w:p>
            <w:r>
              <w:rPr>
                <w:rFonts w:ascii="Calibri" w:hAnsi="Calibri"/>
                <w:b/>
                <w:color w:val="30A46C"/>
                <w:sz w:val="22"/>
              </w:rPr>
              <w:t>+0.3%</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$5.01</w:t>
            </w:r>
          </w:p>
        </w:tc>
        <w:tc>
          <w:tcPr>
            <w:tcW w:type="dxa" w:w="1440"/>
          </w:tcPr>
          <w:p>
            <w:r>
              <w:rPr>
                <w:rFonts w:ascii="Calibri" w:hAnsi="Calibri"/>
                <w:sz w:val="22"/>
              </w:rPr>
              <w:t>$4.97</w:t>
            </w:r>
          </w:p>
        </w:tc>
        <w:tc>
          <w:tcPr>
            <w:tcW w:type="dxa" w:w="1440"/>
          </w:tcPr>
          <w:p>
            <w:r>
              <w:rPr>
                <w:rFonts w:ascii="Calibri" w:hAnsi="Calibri"/>
                <w:b/>
                <w:color w:val="30A46C"/>
                <w:sz w:val="22"/>
              </w:rPr>
              <w:t>+0.8%</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CPAY has beaten or matched on revenue in 6 of the last 8 quarters and on EPS in 6 of 8, with the two misses (Q4 2024 and Q1 2025) concentrated in a period of macro headwinds and US Vehicle softness that has since reversed; the last three quarters have all been clean beats, establishing a positive momentum pattern heading into Q2 2026.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not been formally revised since the Q1 2026 earnings call (May 7), but management's tone at the Morgan Stanley conference (June 9) and JP Morgan conference (May 18) was </w:t>
      </w:r>
      <w:r>
        <w:rPr>
          <w:rFonts w:ascii="Calibri" w:hAnsi="Calibri"/>
          <w:b/>
          <w:color w:val="525866"/>
          <w:sz w:val="22"/>
        </w:rPr>
        <w:t>incrementally more confident</w:t>
      </w:r>
      <w:r>
        <w:rPr>
          <w:rFonts w:ascii="Calibri" w:hAnsi="Calibri"/>
          <w:color w:val="525866"/>
          <w:sz w:val="22"/>
        </w:rPr>
        <w:t xml:space="preserve"> — particularly on cross-border momentum, Alpha integration progress, and the buyback-driven EPS algorithm upgrade to 24%. No cautionary signals have been issued.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May 7)</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$1.295B (midpoint)</w:t>
            </w:r>
          </w:p>
        </w:tc>
        <w:tc>
          <w:tcPr>
            <w:tcW w:type="dxa" w:w="1728"/>
          </w:tcPr>
          <w:p>
            <w:r>
              <w:rPr>
                <w:rFonts w:ascii="Calibri" w:hAnsi="Calibri"/>
                <w:sz w:val="22"/>
              </w:rPr>
              <w:t>—</w:t>
            </w:r>
          </w:p>
        </w:tc>
        <w:tc>
          <w:tcPr>
            <w:tcW w:type="dxa" w:w="1728"/>
          </w:tcPr>
          <w:p>
            <w:r>
              <w:rPr>
                <w:rFonts w:ascii="Calibri" w:hAnsi="Calibri"/>
                <w:sz w:val="22"/>
              </w:rPr>
              <w:t>$1.302B</w:t>
            </w:r>
          </w:p>
        </w:tc>
        <w:tc>
          <w:tcPr>
            <w:tcW w:type="dxa" w:w="1728"/>
          </w:tcPr>
          <w:p>
            <w:r>
              <w:rPr>
                <w:rFonts w:ascii="Calibri" w:hAnsi="Calibri"/>
                <w:sz w:val="22"/>
              </w:rPr>
              <w:t>No post-earnings revision; consensus +0.5% above midpoint</w:t>
            </w:r>
          </w:p>
        </w:tc>
      </w:tr>
      <w:tr>
        <w:tc>
          <w:tcPr>
            <w:tcW w:type="dxa" w:w="1728"/>
          </w:tcPr>
          <w:p>
            <w:r>
              <w:rPr>
                <w:rFonts w:ascii="Calibri" w:hAnsi="Calibri"/>
                <w:sz w:val="22"/>
              </w:rPr>
              <w:t>Q2 2026 Adj. EPS</w:t>
            </w:r>
          </w:p>
        </w:tc>
        <w:tc>
          <w:tcPr>
            <w:tcW w:type="dxa" w:w="1728"/>
          </w:tcPr>
          <w:p>
            <w:r>
              <w:rPr>
                <w:rFonts w:ascii="Calibri" w:hAnsi="Calibri"/>
                <w:sz w:val="22"/>
              </w:rPr>
              <w:t>$6.55 (midpoint)</w:t>
            </w:r>
          </w:p>
        </w:tc>
        <w:tc>
          <w:tcPr>
            <w:tcW w:type="dxa" w:w="1728"/>
          </w:tcPr>
          <w:p>
            <w:r>
              <w:rPr>
                <w:rFonts w:ascii="Calibri" w:hAnsi="Calibri"/>
                <w:sz w:val="22"/>
              </w:rPr>
              <w:t>—</w:t>
            </w:r>
          </w:p>
        </w:tc>
        <w:tc>
          <w:tcPr>
            <w:tcW w:type="dxa" w:w="1728"/>
          </w:tcPr>
          <w:p>
            <w:r>
              <w:rPr>
                <w:rFonts w:ascii="Calibri" w:hAnsi="Calibri"/>
                <w:sz w:val="22"/>
              </w:rPr>
              <w:t>$6.60</w:t>
            </w:r>
          </w:p>
        </w:tc>
        <w:tc>
          <w:tcPr>
            <w:tcW w:type="dxa" w:w="1728"/>
          </w:tcPr>
          <w:p>
            <w:r>
              <w:rPr>
                <w:rFonts w:ascii="Calibri" w:hAnsi="Calibri"/>
                <w:sz w:val="22"/>
              </w:rPr>
              <w:t>No post-earnings revision; consensus +0.8% above midpoint</w:t>
            </w:r>
          </w:p>
        </w:tc>
      </w:tr>
      <w:tr>
        <w:tc>
          <w:tcPr>
            <w:tcW w:type="dxa" w:w="1728"/>
          </w:tcPr>
          <w:p>
            <w:r>
              <w:rPr>
                <w:rFonts w:ascii="Calibri" w:hAnsi="Calibri"/>
                <w:sz w:val="22"/>
              </w:rPr>
              <w:t>Q2 2026 Organic Revenue Growth</w:t>
            </w:r>
          </w:p>
        </w:tc>
        <w:tc>
          <w:tcPr>
            <w:tcW w:type="dxa" w:w="1728"/>
          </w:tcPr>
          <w:p>
            <w:r>
              <w:rPr>
                <w:rFonts w:ascii="Calibri" w:hAnsi="Calibri"/>
                <w:sz w:val="22"/>
              </w:rPr>
              <w:t>9–11% range</w:t>
            </w:r>
          </w:p>
        </w:tc>
        <w:tc>
          <w:tcPr>
            <w:tcW w:type="dxa" w:w="1728"/>
          </w:tcPr>
          <w:p>
            <w:r>
              <w:rPr>
                <w:rFonts w:ascii="Calibri" w:hAnsi="Calibri"/>
                <w:sz w:val="22"/>
              </w:rPr>
              <w:t>—</w:t>
            </w:r>
          </w:p>
        </w:tc>
        <w:tc>
          <w:tcPr>
            <w:tcW w:type="dxa" w:w="1728"/>
          </w:tcPr>
          <w:p>
            <w:r>
              <w:rPr>
                <w:rFonts w:ascii="Calibri" w:hAnsi="Calibri"/>
                <w:sz w:val="22"/>
              </w:rPr>
              <w:t>~10.2%</w:t>
            </w:r>
          </w:p>
        </w:tc>
        <w:tc>
          <w:tcPr>
            <w:tcW w:type="dxa" w:w="1728"/>
          </w:tcPr>
          <w:p>
            <w:r>
              <w:rPr>
                <w:rFonts w:ascii="Calibri" w:hAnsi="Calibri"/>
                <w:sz w:val="22"/>
              </w:rPr>
              <w:t>Consensus at midpoint of guidance range; no revision</w:t>
            </w:r>
          </w:p>
        </w:tc>
      </w:tr>
      <w:tr>
        <w:tc>
          <w:tcPr>
            <w:tcW w:type="dxa" w:w="1728"/>
          </w:tcPr>
          <w:p>
            <w:r>
              <w:rPr>
                <w:rFonts w:ascii="Calibri" w:hAnsi="Calibri"/>
                <w:sz w:val="22"/>
              </w:rPr>
              <w:t>FY2026 Revenue</w:t>
            </w:r>
          </w:p>
        </w:tc>
        <w:tc>
          <w:tcPr>
            <w:tcW w:type="dxa" w:w="1728"/>
          </w:tcPr>
          <w:p>
            <w:r>
              <w:rPr>
                <w:rFonts w:ascii="Calibri" w:hAnsi="Calibri"/>
                <w:sz w:val="22"/>
              </w:rPr>
              <w:t>$5.290B (midpoint); 17% YoY growth</w:t>
            </w:r>
          </w:p>
        </w:tc>
        <w:tc>
          <w:tcPr>
            <w:tcW w:type="dxa" w:w="1728"/>
          </w:tcPr>
          <w:p>
            <w:r>
              <w:rPr>
                <w:rFonts w:ascii="Calibri" w:hAnsi="Calibri"/>
                <w:sz w:val="22"/>
              </w:rPr>
              <w:t>—</w:t>
            </w:r>
          </w:p>
        </w:tc>
        <w:tc>
          <w:tcPr>
            <w:tcW w:type="dxa" w:w="1728"/>
          </w:tcPr>
          <w:p>
            <w:r>
              <w:rPr>
                <w:rFonts w:ascii="Calibri" w:hAnsi="Calibri"/>
                <w:sz w:val="22"/>
              </w:rPr>
              <w:t>$5.301B</w:t>
            </w:r>
          </w:p>
        </w:tc>
        <w:tc>
          <w:tcPr>
            <w:tcW w:type="dxa" w:w="1728"/>
          </w:tcPr>
          <w:p>
            <w:r>
              <w:rPr>
                <w:rFonts w:ascii="Calibri" w:hAnsi="Calibri"/>
                <w:sz w:val="22"/>
              </w:rPr>
              <w:t>Consensus slightly above midpoint; no formal revision post-Q1</w:t>
            </w:r>
          </w:p>
        </w:tc>
      </w:tr>
      <w:tr>
        <w:tc>
          <w:tcPr>
            <w:tcW w:type="dxa" w:w="1728"/>
          </w:tcPr>
          <w:p>
            <w:r>
              <w:rPr>
                <w:rFonts w:ascii="Calibri" w:hAnsi="Calibri"/>
                <w:sz w:val="22"/>
              </w:rPr>
              <w:t>FY2026 Adj. EPS</w:t>
            </w:r>
          </w:p>
        </w:tc>
        <w:tc>
          <w:tcPr>
            <w:tcW w:type="dxa" w:w="1728"/>
          </w:tcPr>
          <w:p>
            <w:r>
              <w:rPr>
                <w:rFonts w:ascii="Calibri" w:hAnsi="Calibri"/>
                <w:sz w:val="22"/>
              </w:rPr>
              <w:t>$26.70 (midpoint); 25% YoY growth</w:t>
            </w:r>
          </w:p>
        </w:tc>
        <w:tc>
          <w:tcPr>
            <w:tcW w:type="dxa" w:w="1728"/>
          </w:tcPr>
          <w:p>
            <w:r>
              <w:rPr>
                <w:rFonts w:ascii="Calibri" w:hAnsi="Calibri"/>
                <w:sz w:val="22"/>
              </w:rPr>
              <w:t>—</w:t>
            </w:r>
          </w:p>
        </w:tc>
        <w:tc>
          <w:tcPr>
            <w:tcW w:type="dxa" w:w="1728"/>
          </w:tcPr>
          <w:p>
            <w:r>
              <w:rPr>
                <w:rFonts w:ascii="Calibri" w:hAnsi="Calibri"/>
                <w:sz w:val="22"/>
              </w:rPr>
              <w:t>$26.79</w:t>
            </w:r>
          </w:p>
        </w:tc>
        <w:tc>
          <w:tcPr>
            <w:tcW w:type="dxa" w:w="1728"/>
          </w:tcPr>
          <w:p>
            <w:r>
              <w:rPr>
                <w:rFonts w:ascii="Calibri" w:hAnsi="Calibri"/>
                <w:sz w:val="22"/>
              </w:rPr>
              <w:t>Consensus +0.3% above midpoint; stable since Q1 print</w:t>
            </w:r>
          </w:p>
        </w:tc>
      </w:tr>
      <w:tr>
        <w:tc>
          <w:tcPr>
            <w:tcW w:type="dxa" w:w="1728"/>
          </w:tcPr>
          <w:p>
            <w:r>
              <w:rPr>
                <w:rFonts w:ascii="Calibri" w:hAnsi="Calibri"/>
                <w:sz w:val="22"/>
              </w:rPr>
              <w:t>FY2026 Organic Revenue Growth</w:t>
            </w:r>
          </w:p>
        </w:tc>
        <w:tc>
          <w:tcPr>
            <w:tcW w:type="dxa" w:w="1728"/>
          </w:tcPr>
          <w:p>
            <w:r>
              <w:rPr>
                <w:rFonts w:ascii="Calibri" w:hAnsi="Calibri"/>
                <w:sz w:val="22"/>
              </w:rPr>
              <w:t>~10% (stated objective)</w:t>
            </w:r>
          </w:p>
        </w:tc>
        <w:tc>
          <w:tcPr>
            <w:tcW w:type="dxa" w:w="1728"/>
          </w:tcPr>
          <w:p>
            <w:r>
              <w:rPr>
                <w:rFonts w:ascii="Calibri" w:hAnsi="Calibri"/>
                <w:sz w:val="22"/>
              </w:rPr>
              <w:t>—</w:t>
            </w:r>
          </w:p>
        </w:tc>
        <w:tc>
          <w:tcPr>
            <w:tcW w:type="dxa" w:w="1728"/>
          </w:tcPr>
          <w:p>
            <w:r>
              <w:rPr>
                <w:rFonts w:ascii="Calibri" w:hAnsi="Calibri"/>
                <w:sz w:val="22"/>
              </w:rPr>
              <w:t>~10.0%</w:t>
            </w:r>
          </w:p>
        </w:tc>
        <w:tc>
          <w:tcPr>
            <w:tcW w:type="dxa" w:w="1728"/>
          </w:tcPr>
          <w:p>
            <w:r>
              <w:rPr>
                <w:rFonts w:ascii="Calibri" w:hAnsi="Calibri"/>
                <w:sz w:val="22"/>
              </w:rPr>
              <w:t>Consensus aligned with management target; no revision</w:t>
            </w:r>
          </w:p>
        </w:tc>
      </w:tr>
      <w:tr>
        <w:tc>
          <w:tcPr>
            <w:tcW w:type="dxa" w:w="1728"/>
          </w:tcPr>
          <w:p>
            <w:r>
              <w:rPr>
                <w:rFonts w:ascii="Calibri" w:hAnsi="Calibri"/>
                <w:sz w:val="22"/>
              </w:rPr>
              <w:t>Midterm EPS Growth Algorithm</w:t>
            </w:r>
          </w:p>
        </w:tc>
        <w:tc>
          <w:tcPr>
            <w:tcW w:type="dxa" w:w="1728"/>
          </w:tcPr>
          <w:p>
            <w:r>
              <w:rPr>
                <w:rFonts w:ascii="Calibri" w:hAnsi="Calibri"/>
                <w:sz w:val="22"/>
              </w:rPr>
              <w:t>Revised to '10-13-24' (from '10-13-19') at Q1 earnings</w:t>
            </w:r>
          </w:p>
        </w:tc>
        <w:tc>
          <w:tcPr>
            <w:tcW w:type="dxa" w:w="1728"/>
          </w:tcPr>
          <w:p>
            <w:r>
              <w:rPr>
                <w:rFonts w:ascii="Calibri" w:hAnsi="Calibri"/>
                <w:sz w:val="22"/>
              </w:rPr>
              <w:t>Reaffirmed at MS Conference (Jun 9) and JPM Conference (May 18)</w:t>
            </w:r>
          </w:p>
        </w:tc>
        <w:tc>
          <w:tcPr>
            <w:tcW w:type="dxa" w:w="1728"/>
          </w:tcPr>
          <w:p>
            <w:r>
              <w:rPr>
                <w:rFonts w:ascii="Calibri" w:hAnsi="Calibri"/>
                <w:sz w:val="22"/>
              </w:rPr>
              <w:t>N/A</w:t>
            </w:r>
          </w:p>
        </w:tc>
        <w:tc>
          <w:tcPr>
            <w:tcW w:type="dxa" w:w="1728"/>
          </w:tcPr>
          <w:p>
            <w:r>
              <w:rPr>
                <w:rFonts w:ascii="Calibri" w:hAnsi="Calibri"/>
                <w:sz w:val="22"/>
              </w:rPr>
              <w:t>↑ Tone upgrade; driven by buyback yield at current valuation and incremental leverage capacity</w:t>
            </w:r>
          </w:p>
        </w:tc>
      </w:tr>
      <w:tr>
        <w:tc>
          <w:tcPr>
            <w:tcW w:type="dxa" w:w="1728"/>
          </w:tcPr>
          <w:p>
            <w:r>
              <w:rPr>
                <w:rFonts w:ascii="Calibri" w:hAnsi="Calibri"/>
                <w:sz w:val="22"/>
              </w:rPr>
              <w:t>Cross-Border Revenue (FY2026)</w:t>
            </w:r>
          </w:p>
        </w:tc>
        <w:tc>
          <w:tcPr>
            <w:tcW w:type="dxa" w:w="1728"/>
          </w:tcPr>
          <w:p>
            <w:r>
              <w:rPr>
                <w:rFonts w:ascii="Calibri" w:hAnsi="Calibri"/>
                <w:sz w:val="22"/>
              </w:rPr>
              <w:t>~$1.5B (stated at teach-in, May 13)</w:t>
            </w:r>
          </w:p>
        </w:tc>
        <w:tc>
          <w:tcPr>
            <w:tcW w:type="dxa" w:w="1728"/>
          </w:tcPr>
          <w:p>
            <w:r>
              <w:rPr>
                <w:rFonts w:ascii="Calibri" w:hAnsi="Calibri"/>
                <w:sz w:val="22"/>
              </w:rPr>
              <w:t>—</w:t>
            </w:r>
          </w:p>
        </w:tc>
        <w:tc>
          <w:tcPr>
            <w:tcW w:type="dxa" w:w="1728"/>
          </w:tcPr>
          <w:p>
            <w:r>
              <w:rPr>
                <w:rFonts w:ascii="Calibri" w:hAnsi="Calibri"/>
                <w:sz w:val="22"/>
              </w:rPr>
              <w:t>N/A (not separately tracked in VA)</w:t>
            </w:r>
          </w:p>
        </w:tc>
        <w:tc>
          <w:tcPr>
            <w:tcW w:type="dxa" w:w="1728"/>
          </w:tcPr>
          <w:p>
            <w:r>
              <w:rPr>
                <w:rFonts w:ascii="Calibri" w:hAnsi="Calibri"/>
                <w:sz w:val="22"/>
              </w:rPr>
              <w:t>Reaffirmed at MS Conference (Jun 9); ~30% of total 2026 revenue</w:t>
            </w:r>
          </w:p>
        </w:tc>
      </w:tr>
    </w:tbl>
    <w:p>
      <w:r>
        <w:rPr>
          <w:rFonts w:ascii="Calibri" w:hAnsi="Calibri"/>
          <w:color w:val="525866"/>
          <w:sz w:val="22"/>
        </w:rPr>
        <w:t>Sources: Q1 2026 Earnings Call (May 7, 2026); Cross-Border Business Teach-In (May 13, 2026); JP Morgan Global Technology, Media and Communications Conference (May 18, 2026); Morgan Stanley U.S. Financials Conference (June 9, 2026). Visible Alpha Consensus and Actuals Data for current consensus figures.</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drifted </w:t>
      </w:r>
      <w:r>
        <w:rPr>
          <w:rFonts w:ascii="Calibri" w:hAnsi="Calibri"/>
          <w:b/>
          <w:color w:val="525866"/>
          <w:sz w:val="22"/>
        </w:rPr>
        <w:t>modestly higher</w:t>
      </w:r>
      <w:r>
        <w:rPr>
          <w:rFonts w:ascii="Calibri" w:hAnsi="Calibri"/>
          <w:color w:val="525866"/>
          <w:sz w:val="22"/>
        </w:rPr>
        <w:t xml:space="preserve"> since the Q1 post-print baseline — Q2 EPS up ~$0.03 and FY EPS essentially flat — suggesting the Street has absorbed the guidance raise without aggressively pre-positioning. The gap between consensus and guidance midpoints is thin (sub-1%), which is consistent with a market that expects a beat but is not pricing one in aggressively.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14,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$1.298B</w:t>
            </w:r>
          </w:p>
        </w:tc>
        <w:tc>
          <w:tcPr>
            <w:tcW w:type="dxa" w:w="1080"/>
          </w:tcPr>
          <w:p>
            <w:r>
              <w:rPr>
                <w:rFonts w:ascii="Calibri" w:hAnsi="Calibri"/>
                <w:sz w:val="22"/>
              </w:rPr>
              <w:t>$1.302B</w:t>
            </w:r>
          </w:p>
        </w:tc>
        <w:tc>
          <w:tcPr>
            <w:tcW w:type="dxa" w:w="1080"/>
          </w:tcPr>
          <w:p>
            <w:r>
              <w:rPr>
                <w:rFonts w:ascii="Calibri" w:hAnsi="Calibri"/>
                <w:sz w:val="22"/>
              </w:rPr>
              <w:t>+0.3%</w:t>
            </w:r>
          </w:p>
        </w:tc>
        <w:tc>
          <w:tcPr>
            <w:tcW w:type="dxa" w:w="1080"/>
          </w:tcPr>
          <w:p>
            <w:r>
              <w:rPr>
                <w:rFonts w:ascii="Calibri" w:hAnsi="Calibri"/>
                <w:sz w:val="22"/>
              </w:rPr>
              <w:t>$1.295B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w:t>
            </w:r>
          </w:p>
        </w:tc>
      </w:tr>
      <w:tr>
        <w:tc>
          <w:tcPr>
            <w:tcW w:type="dxa" w:w="1080"/>
          </w:tcPr>
          <w:p>
            <w:r>
              <w:rPr>
                <w:rFonts w:ascii="Calibri" w:hAnsi="Calibri"/>
                <w:sz w:val="22"/>
              </w:rPr>
              <w:t>Adj. EPS — Q2 2026</w:t>
            </w:r>
          </w:p>
        </w:tc>
        <w:tc>
          <w:tcPr>
            <w:tcW w:type="dxa" w:w="1080"/>
          </w:tcPr>
          <w:p>
            <w:r>
              <w:rPr>
                <w:rFonts w:ascii="Calibri" w:hAnsi="Calibri"/>
                <w:sz w:val="22"/>
              </w:rPr>
              <w:t>$6.57</w:t>
            </w:r>
          </w:p>
        </w:tc>
        <w:tc>
          <w:tcPr>
            <w:tcW w:type="dxa" w:w="1080"/>
          </w:tcPr>
          <w:p>
            <w:r>
              <w:rPr>
                <w:rFonts w:ascii="Calibri" w:hAnsi="Calibri"/>
                <w:sz w:val="22"/>
              </w:rPr>
              <w:t>$6.60</w:t>
            </w:r>
          </w:p>
        </w:tc>
        <w:tc>
          <w:tcPr>
            <w:tcW w:type="dxa" w:w="1080"/>
          </w:tcPr>
          <w:p>
            <w:r>
              <w:rPr>
                <w:rFonts w:ascii="Calibri" w:hAnsi="Calibri"/>
                <w:sz w:val="22"/>
              </w:rPr>
              <w:t>+0.5%</w:t>
            </w:r>
          </w:p>
        </w:tc>
        <w:tc>
          <w:tcPr>
            <w:tcW w:type="dxa" w:w="1080"/>
          </w:tcPr>
          <w:p>
            <w:r>
              <w:rPr>
                <w:rFonts w:ascii="Calibri" w:hAnsi="Calibri"/>
                <w:sz w:val="22"/>
              </w:rPr>
              <w:t>$6.55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w:t>
            </w:r>
          </w:p>
        </w:tc>
      </w:tr>
      <w:tr>
        <w:tc>
          <w:tcPr>
            <w:tcW w:type="dxa" w:w="1080"/>
          </w:tcPr>
          <w:p>
            <w:r>
              <w:rPr>
                <w:rFonts w:ascii="Calibri" w:hAnsi="Calibri"/>
                <w:sz w:val="22"/>
              </w:rPr>
              <w:t>Revenue — FY2026</w:t>
            </w:r>
          </w:p>
        </w:tc>
        <w:tc>
          <w:tcPr>
            <w:tcW w:type="dxa" w:w="1080"/>
          </w:tcPr>
          <w:p>
            <w:r>
              <w:rPr>
                <w:rFonts w:ascii="Calibri" w:hAnsi="Calibri"/>
                <w:sz w:val="22"/>
              </w:rPr>
              <w:t>$5.302B</w:t>
            </w:r>
          </w:p>
        </w:tc>
        <w:tc>
          <w:tcPr>
            <w:tcW w:type="dxa" w:w="1080"/>
          </w:tcPr>
          <w:p>
            <w:r>
              <w:rPr>
                <w:rFonts w:ascii="Calibri" w:hAnsi="Calibri"/>
                <w:sz w:val="22"/>
              </w:rPr>
              <w:t>$5.301B</w:t>
            </w:r>
          </w:p>
        </w:tc>
        <w:tc>
          <w:tcPr>
            <w:tcW w:type="dxa" w:w="1080"/>
          </w:tcPr>
          <w:p>
            <w:r>
              <w:rPr>
                <w:rFonts w:ascii="Calibri" w:hAnsi="Calibri"/>
                <w:sz w:val="22"/>
              </w:rPr>
              <w:t>~0.0%</w:t>
            </w:r>
          </w:p>
        </w:tc>
        <w:tc>
          <w:tcPr>
            <w:tcW w:type="dxa" w:w="1080"/>
          </w:tcPr>
          <w:p>
            <w:r>
              <w:rPr>
                <w:rFonts w:ascii="Calibri" w:hAnsi="Calibri"/>
                <w:sz w:val="22"/>
              </w:rPr>
              <w:t>$5.290B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w:t>
            </w:r>
          </w:p>
        </w:tc>
      </w:tr>
      <w:tr>
        <w:tc>
          <w:tcPr>
            <w:tcW w:type="dxa" w:w="1080"/>
          </w:tcPr>
          <w:p>
            <w:r>
              <w:rPr>
                <w:rFonts w:ascii="Calibri" w:hAnsi="Calibri"/>
                <w:sz w:val="22"/>
              </w:rPr>
              <w:t>Adj. EPS — FY2026</w:t>
            </w:r>
          </w:p>
        </w:tc>
        <w:tc>
          <w:tcPr>
            <w:tcW w:type="dxa" w:w="1080"/>
          </w:tcPr>
          <w:p>
            <w:r>
              <w:rPr>
                <w:rFonts w:ascii="Calibri" w:hAnsi="Calibri"/>
                <w:sz w:val="22"/>
              </w:rPr>
              <w:t>$26.79</w:t>
            </w:r>
          </w:p>
        </w:tc>
        <w:tc>
          <w:tcPr>
            <w:tcW w:type="dxa" w:w="1080"/>
          </w:tcPr>
          <w:p>
            <w:r>
              <w:rPr>
                <w:rFonts w:ascii="Calibri" w:hAnsi="Calibri"/>
                <w:sz w:val="22"/>
              </w:rPr>
              <w:t>$26.79</w:t>
            </w:r>
          </w:p>
        </w:tc>
        <w:tc>
          <w:tcPr>
            <w:tcW w:type="dxa" w:w="1080"/>
          </w:tcPr>
          <w:p>
            <w:r>
              <w:rPr>
                <w:rFonts w:ascii="Calibri" w:hAnsi="Calibri"/>
                <w:sz w:val="22"/>
              </w:rPr>
              <w:t>~0.0%</w:t>
            </w:r>
          </w:p>
        </w:tc>
        <w:tc>
          <w:tcPr>
            <w:tcW w:type="dxa" w:w="1080"/>
          </w:tcPr>
          <w:p>
            <w:r>
              <w:rPr>
                <w:rFonts w:ascii="Calibri" w:hAnsi="Calibri"/>
                <w:sz w:val="22"/>
              </w:rPr>
              <w:t>$26.70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w:t>
            </w:r>
          </w:p>
        </w:tc>
      </w:tr>
    </w:tbl>
    <w:p>
      <w:r>
        <w:rPr>
          <w:rFonts w:ascii="Calibri" w:hAnsi="Calibri"/>
          <w:color w:val="525866"/>
          <w:sz w:val="22"/>
        </w:rPr>
        <w:t>Estimate revisions since the Q1 print have been constructive but shallow: Q2 revenue consensus has risen ~$4M (+0.3%) and Q2 EPS by ~$0.03 (+0.5%), while FY2026 estimates are essentially flat. This pattern — small upward drift with no aggressive pre-positioning — is consistent with a market that trusts management's guidance but is waiting for the print to confirm the H2 ramp. The thin consensus-vs.-guidance gap (~0.5–0.8%) leaves room for a beat if Corporate Payments organic growth re-accelerates or Alpha synergies arrive earlier than modeled. Source: Visible Alpha Consensus and Actuals Data (revision history table, weekly frequency, May 15 – August 4,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CPAY has dramatically outperformed both IPAY and the S&amp;P 500 since the Q1 print, driven primarily by </w:t>
      </w:r>
      <w:r>
        <w:rPr>
          <w:rFonts w:ascii="Calibri" w:hAnsi="Calibri"/>
          <w:b/>
          <w:color w:val="525866"/>
          <w:sz w:val="22"/>
        </w:rPr>
        <w:t>multiple re-expansion</w:t>
      </w:r>
      <w:r>
        <w:rPr>
          <w:rFonts w:ascii="Calibri" w:hAnsi="Calibri"/>
          <w:color w:val="525866"/>
          <w:sz w:val="22"/>
        </w:rPr>
        <w:t xml:space="preserve"> (EV/EBITDA from ~9.8x to ~11.1x over 3 months) layered on top of solid estimate revisions. The stock's +30% 6-month move is predominantly a re-rating story, not an earnings revision story, which means the durability of the move depends on continued execution.</w:t>
      </w:r>
    </w:p>
    <w:p>
      <w:r>
        <w:rPr>
          <w:rFonts w:ascii="Calibri" w:hAnsi="Calibri"/>
          <w:color w:val="525866"/>
          <w:sz w:val="22"/>
        </w:rPr>
        <w:t xml:space="preserve">Since the Q1 2026 earnings close on May 7, 2026 ($305.75), CPAY has risen to $385.78 as of August 3, 2026 — a gain of approximately </w:t>
      </w:r>
      <w:r>
        <w:rPr>
          <w:rFonts w:ascii="Calibri" w:hAnsi="Calibri"/>
          <w:b/>
          <w:color w:val="525866"/>
          <w:sz w:val="22"/>
        </w:rPr>
        <w:t>+26.2%</w:t>
      </w:r>
      <w:r>
        <w:rPr>
          <w:rFonts w:ascii="Calibri" w:hAnsi="Calibri"/>
          <w:color w:val="525866"/>
          <w:sz w:val="22"/>
        </w:rPr>
        <w:t xml:space="preserve"> — versus IPAY +8.1% and SPY +3.6% over the same period. The stock surged ~+12.5% on May 8 (the day after the Q1 print) as the magnitude of the beat and the guidance raise were digested, then consolidated in the $330–$365 range through June before resuming its uptrend in July as the broader market recovered and CPAY-specific catalysts (Alpha migration progress, buyback activity, divestiture pipeline) kept sentiment positive. The 3-month performance decomposition shows EV/EBITDA expanded from ~9.8x to ~11.1x (+13%), accounting for the majority of the price appreciation, with estimate revisions contributing only modestly. At ~13x NTM P/E and ~11x NTM EV/EBITDA, the stock remains below historical averages and management's own characterization of 'significantly undervalued,' but the easy money from the deep discount has been made. Source: Stock Price Data (Yahoo Finance); Stock Performance Decomposition (NTM multiples).</w:t>
      </w:r>
    </w:p>
    <w:p>
      <w:pPr>
        <w:pStyle w:val="Heading3"/>
      </w:pPr>
      <w:r>
        <w:rPr>
          <w:rFonts w:ascii="Calibri" w:hAnsi="Calibri"/>
          <w:b/>
          <w:color w:val="3B4259"/>
          <w:sz w:val="24"/>
        </w:rPr>
        <w:t>Indexed Price Performance: CPAY vs. IPAY vs. S&amp;P 500 (Since May 7, 2026 Q1 Earnings)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CPAY (Indexed)</w:t>
            </w:r>
          </w:p>
        </w:tc>
        <w:tc>
          <w:tcPr>
            <w:tcW w:type="dxa" w:w="1728"/>
            <w:shd w:val="clear" w:color="auto" w:fill="3B4259"/>
          </w:tcPr>
          <w:p>
            <w:r>
              <w:rPr>
                <w:rFonts w:ascii="Calibri" w:hAnsi="Calibri"/>
                <w:b/>
                <w:color w:val="FFFFFF"/>
                <w:sz w:val="22"/>
              </w:rPr>
              <w:t>IPAY (Indexed)</w:t>
            </w:r>
          </w:p>
        </w:tc>
        <w:tc>
          <w:tcPr>
            <w:tcW w:type="dxa" w:w="1728"/>
            <w:shd w:val="clear" w:color="auto" w:fill="3B4259"/>
          </w:tcPr>
          <w:p>
            <w:r>
              <w:rPr>
                <w:rFonts w:ascii="Calibri" w:hAnsi="Calibri"/>
                <w:b/>
                <w:color w:val="FFFFFF"/>
                <w:sz w:val="22"/>
              </w:rPr>
              <w:t>SPY (Indexed)</w:t>
            </w:r>
          </w:p>
        </w:tc>
        <w:tc>
          <w:tcPr>
            <w:tcW w:type="dxa" w:w="1728"/>
            <w:shd w:val="clear" w:color="auto" w:fill="3B4259"/>
          </w:tcPr>
          <w:p>
            <w:r>
              <w:rPr>
                <w:rFonts w:ascii="Calibri" w:hAnsi="Calibri"/>
                <w:b/>
                <w:color w:val="FFFFFF"/>
                <w:sz w:val="22"/>
              </w:rPr>
              <w:t>Key Event</w:t>
            </w:r>
          </w:p>
        </w:tc>
      </w:tr>
      <w:tr>
        <w:tc>
          <w:tcPr>
            <w:tcW w:type="dxa" w:w="1728"/>
          </w:tcPr>
          <w:p>
            <w:r>
              <w:rPr>
                <w:rFonts w:ascii="Calibri" w:hAnsi="Calibri"/>
                <w:sz w:val="22"/>
              </w:rPr>
              <w:t>May 7, 2026</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100.0</w:t>
            </w:r>
          </w:p>
        </w:tc>
        <w:tc>
          <w:tcPr>
            <w:tcW w:type="dxa" w:w="1728"/>
          </w:tcPr>
          <w:p>
            <w:r>
              <w:rPr>
                <w:rFonts w:ascii="Calibri" w:hAnsi="Calibri"/>
                <w:sz w:val="22"/>
              </w:rPr>
              <w:t>Q1 2026 Earnings (base)</w:t>
            </w:r>
          </w:p>
        </w:tc>
      </w:tr>
      <w:tr>
        <w:tc>
          <w:tcPr>
            <w:tcW w:type="dxa" w:w="1728"/>
          </w:tcPr>
          <w:p>
            <w:r>
              <w:rPr>
                <w:rFonts w:ascii="Calibri" w:hAnsi="Calibri"/>
                <w:sz w:val="22"/>
              </w:rPr>
              <w:t>May 8, 2026</w:t>
            </w:r>
          </w:p>
        </w:tc>
        <w:tc>
          <w:tcPr>
            <w:tcW w:type="dxa" w:w="1728"/>
          </w:tcPr>
          <w:p>
            <w:r>
              <w:rPr>
                <w:rFonts w:ascii="Calibri" w:hAnsi="Calibri"/>
                <w:sz w:val="22"/>
              </w:rPr>
              <w:t>112.5</w:t>
            </w:r>
          </w:p>
        </w:tc>
        <w:tc>
          <w:tcPr>
            <w:tcW w:type="dxa" w:w="1728"/>
          </w:tcPr>
          <w:p>
            <w:r>
              <w:rPr>
                <w:rFonts w:ascii="Calibri" w:hAnsi="Calibri"/>
                <w:sz w:val="22"/>
              </w:rPr>
              <w:t>99.2</w:t>
            </w:r>
          </w:p>
        </w:tc>
        <w:tc>
          <w:tcPr>
            <w:tcW w:type="dxa" w:w="1728"/>
          </w:tcPr>
          <w:p>
            <w:r>
              <w:rPr>
                <w:rFonts w:ascii="Calibri" w:hAnsi="Calibri"/>
                <w:sz w:val="22"/>
              </w:rPr>
              <w:t>100.8</w:t>
            </w:r>
          </w:p>
        </w:tc>
        <w:tc>
          <w:tcPr>
            <w:tcW w:type="dxa" w:w="1728"/>
          </w:tcPr>
          <w:p>
            <w:r>
              <w:rPr>
                <w:rFonts w:ascii="Calibri" w:hAnsi="Calibri"/>
                <w:sz w:val="22"/>
              </w:rPr>
              <w:t>Post-earnings gap up; guidance raise absorbed</w:t>
            </w:r>
          </w:p>
        </w:tc>
      </w:tr>
      <w:tr>
        <w:tc>
          <w:tcPr>
            <w:tcW w:type="dxa" w:w="1728"/>
          </w:tcPr>
          <w:p>
            <w:r>
              <w:rPr>
                <w:rFonts w:ascii="Calibri" w:hAnsi="Calibri"/>
                <w:sz w:val="22"/>
              </w:rPr>
              <w:t>May 13, 2026</w:t>
            </w:r>
          </w:p>
        </w:tc>
        <w:tc>
          <w:tcPr>
            <w:tcW w:type="dxa" w:w="1728"/>
          </w:tcPr>
          <w:p>
            <w:r>
              <w:rPr>
                <w:rFonts w:ascii="Calibri" w:hAnsi="Calibri"/>
                <w:sz w:val="22"/>
              </w:rPr>
              <w:t>108.3</w:t>
            </w:r>
          </w:p>
        </w:tc>
        <w:tc>
          <w:tcPr>
            <w:tcW w:type="dxa" w:w="1728"/>
          </w:tcPr>
          <w:p>
            <w:r>
              <w:rPr>
                <w:rFonts w:ascii="Calibri" w:hAnsi="Calibri"/>
                <w:sz w:val="22"/>
              </w:rPr>
              <w:t>95.1</w:t>
            </w:r>
          </w:p>
        </w:tc>
        <w:tc>
          <w:tcPr>
            <w:tcW w:type="dxa" w:w="1728"/>
          </w:tcPr>
          <w:p>
            <w:r>
              <w:rPr>
                <w:rFonts w:ascii="Calibri" w:hAnsi="Calibri"/>
                <w:sz w:val="22"/>
              </w:rPr>
              <w:t>101.5</w:t>
            </w:r>
          </w:p>
        </w:tc>
        <w:tc>
          <w:tcPr>
            <w:tcW w:type="dxa" w:w="1728"/>
          </w:tcPr>
          <w:p>
            <w:r>
              <w:rPr>
                <w:rFonts w:ascii="Calibri" w:hAnsi="Calibri"/>
                <w:sz w:val="22"/>
              </w:rPr>
              <w:t>Cross-Border Business Teach-In</w:t>
            </w:r>
          </w:p>
        </w:tc>
      </w:tr>
      <w:tr>
        <w:tc>
          <w:tcPr>
            <w:tcW w:type="dxa" w:w="1728"/>
          </w:tcPr>
          <w:p>
            <w:r>
              <w:rPr>
                <w:rFonts w:ascii="Calibri" w:hAnsi="Calibri"/>
                <w:sz w:val="22"/>
              </w:rPr>
              <w:t>May 29, 2026</w:t>
            </w:r>
          </w:p>
        </w:tc>
        <w:tc>
          <w:tcPr>
            <w:tcW w:type="dxa" w:w="1728"/>
          </w:tcPr>
          <w:p>
            <w:r>
              <w:rPr>
                <w:rFonts w:ascii="Calibri" w:hAnsi="Calibri"/>
                <w:sz w:val="22"/>
              </w:rPr>
              <w:t>118.3</w:t>
            </w:r>
          </w:p>
        </w:tc>
        <w:tc>
          <w:tcPr>
            <w:tcW w:type="dxa" w:w="1728"/>
          </w:tcPr>
          <w:p>
            <w:r>
              <w:rPr>
                <w:rFonts w:ascii="Calibri" w:hAnsi="Calibri"/>
                <w:sz w:val="22"/>
              </w:rPr>
              <w:t>98.6</w:t>
            </w:r>
          </w:p>
        </w:tc>
        <w:tc>
          <w:tcPr>
            <w:tcW w:type="dxa" w:w="1728"/>
          </w:tcPr>
          <w:p>
            <w:r>
              <w:rPr>
                <w:rFonts w:ascii="Calibri" w:hAnsi="Calibri"/>
                <w:sz w:val="22"/>
              </w:rPr>
              <w:t>103.4</w:t>
            </w:r>
          </w:p>
        </w:tc>
        <w:tc>
          <w:tcPr>
            <w:tcW w:type="dxa" w:w="1728"/>
          </w:tcPr>
          <w:p>
            <w:r>
              <w:rPr>
                <w:rFonts w:ascii="Calibri" w:hAnsi="Calibri"/>
                <w:sz w:val="22"/>
              </w:rPr>
              <w:t>—</w:t>
            </w:r>
          </w:p>
        </w:tc>
      </w:tr>
      <w:tr>
        <w:tc>
          <w:tcPr>
            <w:tcW w:type="dxa" w:w="1728"/>
          </w:tcPr>
          <w:p>
            <w:r>
              <w:rPr>
                <w:rFonts w:ascii="Calibri" w:hAnsi="Calibri"/>
                <w:sz w:val="22"/>
              </w:rPr>
              <w:t>Jun 9, 2026</w:t>
            </w:r>
          </w:p>
        </w:tc>
        <w:tc>
          <w:tcPr>
            <w:tcW w:type="dxa" w:w="1728"/>
          </w:tcPr>
          <w:p>
            <w:r>
              <w:rPr>
                <w:rFonts w:ascii="Calibri" w:hAnsi="Calibri"/>
                <w:sz w:val="22"/>
              </w:rPr>
              <w:t>117.0</w:t>
            </w:r>
          </w:p>
        </w:tc>
        <w:tc>
          <w:tcPr>
            <w:tcW w:type="dxa" w:w="1728"/>
          </w:tcPr>
          <w:p>
            <w:r>
              <w:rPr>
                <w:rFonts w:ascii="Calibri" w:hAnsi="Calibri"/>
                <w:sz w:val="22"/>
              </w:rPr>
              <w:t>92.1</w:t>
            </w:r>
          </w:p>
        </w:tc>
        <w:tc>
          <w:tcPr>
            <w:tcW w:type="dxa" w:w="1728"/>
          </w:tcPr>
          <w:p>
            <w:r>
              <w:rPr>
                <w:rFonts w:ascii="Calibri" w:hAnsi="Calibri"/>
                <w:sz w:val="22"/>
              </w:rPr>
              <w:t>100.7</w:t>
            </w:r>
          </w:p>
        </w:tc>
        <w:tc>
          <w:tcPr>
            <w:tcW w:type="dxa" w:w="1728"/>
          </w:tcPr>
          <w:p>
            <w:r>
              <w:rPr>
                <w:rFonts w:ascii="Calibri" w:hAnsi="Calibri"/>
                <w:sz w:val="22"/>
              </w:rPr>
              <w:t>Morgan Stanley U.S. Financials Conference</w:t>
            </w:r>
          </w:p>
        </w:tc>
      </w:tr>
      <w:tr>
        <w:tc>
          <w:tcPr>
            <w:tcW w:type="dxa" w:w="1728"/>
          </w:tcPr>
          <w:p>
            <w:r>
              <w:rPr>
                <w:rFonts w:ascii="Calibri" w:hAnsi="Calibri"/>
                <w:sz w:val="22"/>
              </w:rPr>
              <w:t>Jun 25, 2026</w:t>
            </w:r>
          </w:p>
        </w:tc>
        <w:tc>
          <w:tcPr>
            <w:tcW w:type="dxa" w:w="1728"/>
          </w:tcPr>
          <w:p>
            <w:r>
              <w:rPr>
                <w:rFonts w:ascii="Calibri" w:hAnsi="Calibri"/>
                <w:sz w:val="22"/>
              </w:rPr>
              <w:t>106.6</w:t>
            </w:r>
          </w:p>
        </w:tc>
        <w:tc>
          <w:tcPr>
            <w:tcW w:type="dxa" w:w="1728"/>
          </w:tcPr>
          <w:p>
            <w:r>
              <w:rPr>
                <w:rFonts w:ascii="Calibri" w:hAnsi="Calibri"/>
                <w:sz w:val="22"/>
              </w:rPr>
              <w:t>94.4</w:t>
            </w:r>
          </w:p>
        </w:tc>
        <w:tc>
          <w:tcPr>
            <w:tcW w:type="dxa" w:w="1728"/>
          </w:tcPr>
          <w:p>
            <w:r>
              <w:rPr>
                <w:rFonts w:ascii="Calibri" w:hAnsi="Calibri"/>
                <w:sz w:val="22"/>
              </w:rPr>
              <w:t>100.4</w:t>
            </w:r>
          </w:p>
        </w:tc>
        <w:tc>
          <w:tcPr>
            <w:tcW w:type="dxa" w:w="1728"/>
          </w:tcPr>
          <w:p>
            <w:r>
              <w:rPr>
                <w:rFonts w:ascii="Calibri" w:hAnsi="Calibri"/>
                <w:sz w:val="22"/>
              </w:rPr>
              <w:t>Mid-June pullback; market volatility</w:t>
            </w:r>
          </w:p>
        </w:tc>
      </w:tr>
      <w:tr>
        <w:tc>
          <w:tcPr>
            <w:tcW w:type="dxa" w:w="1728"/>
          </w:tcPr>
          <w:p>
            <w:r>
              <w:rPr>
                <w:rFonts w:ascii="Calibri" w:hAnsi="Calibri"/>
                <w:sz w:val="22"/>
              </w:rPr>
              <w:t>Jun 30, 2026</w:t>
            </w:r>
          </w:p>
        </w:tc>
        <w:tc>
          <w:tcPr>
            <w:tcW w:type="dxa" w:w="1728"/>
          </w:tcPr>
          <w:p>
            <w:r>
              <w:rPr>
                <w:rFonts w:ascii="Calibri" w:hAnsi="Calibri"/>
                <w:sz w:val="22"/>
              </w:rPr>
              <w:t>109.0</w:t>
            </w:r>
          </w:p>
        </w:tc>
        <w:tc>
          <w:tcPr>
            <w:tcW w:type="dxa" w:w="1728"/>
          </w:tcPr>
          <w:p>
            <w:r>
              <w:rPr>
                <w:rFonts w:ascii="Calibri" w:hAnsi="Calibri"/>
                <w:sz w:val="22"/>
              </w:rPr>
              <w:t>98.1</w:t>
            </w:r>
          </w:p>
        </w:tc>
        <w:tc>
          <w:tcPr>
            <w:tcW w:type="dxa" w:w="1728"/>
          </w:tcPr>
          <w:p>
            <w:r>
              <w:rPr>
                <w:rFonts w:ascii="Calibri" w:hAnsi="Calibri"/>
                <w:sz w:val="22"/>
              </w:rPr>
              <w:t>102.1</w:t>
            </w:r>
          </w:p>
        </w:tc>
        <w:tc>
          <w:tcPr>
            <w:tcW w:type="dxa" w:w="1728"/>
          </w:tcPr>
          <w:p>
            <w:r>
              <w:rPr>
                <w:rFonts w:ascii="Calibri" w:hAnsi="Calibri"/>
                <w:sz w:val="22"/>
              </w:rPr>
              <w:t>Quarter-end</w:t>
            </w:r>
          </w:p>
        </w:tc>
      </w:tr>
      <w:tr>
        <w:tc>
          <w:tcPr>
            <w:tcW w:type="dxa" w:w="1728"/>
          </w:tcPr>
          <w:p>
            <w:r>
              <w:rPr>
                <w:rFonts w:ascii="Calibri" w:hAnsi="Calibri"/>
                <w:sz w:val="22"/>
              </w:rPr>
              <w:t>Jul 24, 2026</w:t>
            </w:r>
          </w:p>
        </w:tc>
        <w:tc>
          <w:tcPr>
            <w:tcW w:type="dxa" w:w="1728"/>
          </w:tcPr>
          <w:p>
            <w:r>
              <w:rPr>
                <w:rFonts w:ascii="Calibri" w:hAnsi="Calibri"/>
                <w:sz w:val="22"/>
              </w:rPr>
              <w:t>121.2</w:t>
            </w:r>
          </w:p>
        </w:tc>
        <w:tc>
          <w:tcPr>
            <w:tcW w:type="dxa" w:w="1728"/>
          </w:tcPr>
          <w:p>
            <w:r>
              <w:rPr>
                <w:rFonts w:ascii="Calibri" w:hAnsi="Calibri"/>
                <w:sz w:val="22"/>
              </w:rPr>
              <w:t>102.2</w:t>
            </w:r>
          </w:p>
        </w:tc>
        <w:tc>
          <w:tcPr>
            <w:tcW w:type="dxa" w:w="1728"/>
          </w:tcPr>
          <w:p>
            <w:r>
              <w:rPr>
                <w:rFonts w:ascii="Calibri" w:hAnsi="Calibri"/>
                <w:sz w:val="22"/>
              </w:rPr>
              <w:t>101.0</w:t>
            </w:r>
          </w:p>
        </w:tc>
        <w:tc>
          <w:tcPr>
            <w:tcW w:type="dxa" w:w="1728"/>
          </w:tcPr>
          <w:p>
            <w:r>
              <w:rPr>
                <w:rFonts w:ascii="Calibri" w:hAnsi="Calibri"/>
                <w:sz w:val="22"/>
              </w:rPr>
              <w:t>Performance-based stock unit award (8-K)</w:t>
            </w:r>
          </w:p>
        </w:tc>
      </w:tr>
      <w:tr>
        <w:tc>
          <w:tcPr>
            <w:tcW w:type="dxa" w:w="1728"/>
          </w:tcPr>
          <w:p>
            <w:r>
              <w:rPr>
                <w:rFonts w:ascii="Calibri" w:hAnsi="Calibri"/>
                <w:sz w:val="22"/>
              </w:rPr>
              <w:t>Aug 3, 2026</w:t>
            </w:r>
          </w:p>
        </w:tc>
        <w:tc>
          <w:tcPr>
            <w:tcW w:type="dxa" w:w="1728"/>
          </w:tcPr>
          <w:p>
            <w:r>
              <w:rPr>
                <w:rFonts w:ascii="Calibri" w:hAnsi="Calibri"/>
                <w:sz w:val="22"/>
              </w:rPr>
              <w:t>126.2</w:t>
            </w:r>
          </w:p>
        </w:tc>
        <w:tc>
          <w:tcPr>
            <w:tcW w:type="dxa" w:w="1728"/>
          </w:tcPr>
          <w:p>
            <w:r>
              <w:rPr>
                <w:rFonts w:ascii="Calibri" w:hAnsi="Calibri"/>
                <w:sz w:val="22"/>
              </w:rPr>
              <w:t>108.0</w:t>
            </w:r>
          </w:p>
        </w:tc>
        <w:tc>
          <w:tcPr>
            <w:tcW w:type="dxa" w:w="1728"/>
          </w:tcPr>
          <w:p>
            <w:r>
              <w:rPr>
                <w:rFonts w:ascii="Calibri" w:hAnsi="Calibri"/>
                <w:sz w:val="22"/>
              </w:rPr>
              <w:t>103.6</w:t>
            </w:r>
          </w:p>
        </w:tc>
        <w:tc>
          <w:tcPr>
            <w:tcW w:type="dxa" w:w="1728"/>
          </w:tcPr>
          <w:p>
            <w:r>
              <w:rPr>
                <w:rFonts w:ascii="Calibri" w:hAnsi="Calibri"/>
                <w:sz w:val="22"/>
              </w:rPr>
              <w:t>Pre-earnings (latest)</w:t>
            </w:r>
          </w:p>
        </w:tc>
      </w:tr>
    </w:tbl>
    <w:p>
      <w:r>
        <w:rPr>
          <w:rFonts w:ascii="Calibri" w:hAnsi="Calibri"/>
          <w:color w:val="525866"/>
          <w:sz w:val="22"/>
        </w:rPr>
        <w:t>Note: Indexed to 100 at May 7, 2026 close. IPAY (ETF Managers Group ETFMG Prime Mobile Payments ETF) used as sector benchmark. Source: Stock Price Data (Yahoo Finance).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Alpha platform migration targeting July/August completion</w:t>
      </w:r>
      <w:r>
        <w:rPr>
          <w:rFonts w:ascii="Calibri" w:hAnsi="Calibri"/>
          <w:color w:val="525866"/>
          <w:sz w:val="22"/>
        </w:rPr>
        <w:t xml:space="preserve"> — on-schedule delivery would unlock geographic expansion, cost synergies, and new revenue streams that management has been signaling as the primary H2 2026 catalyst. The executive performance-based stock unit award tied to ambitious price targets (July 24 8-K) is a secondary signal of management's conviction in the long-term value creation story.</w:t>
      </w:r>
    </w:p>
    <w:p>
      <w:pPr>
        <w:pStyle w:val="ListBullet"/>
        <w:ind w:left="360" w:hanging="360"/>
      </w:pPr>
      <w:r>
        <w:rPr>
          <w:rFonts w:ascii="Calibri" w:hAnsi="Calibri"/>
          <w:b/>
          <w:color w:val="525866"/>
          <w:sz w:val="22"/>
        </w:rPr>
        <w:t>May 7, 2026 — Q1 2026 Earnings Beat &amp; Guidance Raise:</w:t>
      </w:r>
      <w:r>
        <w:rPr>
          <w:rFonts w:ascii="Calibri" w:hAnsi="Calibri"/>
          <w:color w:val="525866"/>
          <w:sz w:val="22"/>
        </w:rPr>
        <w:t xml:space="preserve"> Revenue of $1.261B (+25% YoY) and cash EPS of $5.80 (+29%) both beat consensus meaningfully. Full-year 2026 guidance raised to $5.290B revenue / $26.70 EPS at midpoints. Q2 guidance set at $1.295B / $6.55. Approximately two-thirds of the $50M revenue beat attributed to fundamental business performance, not macro. Fourth consecutive quarter of 11% organic growth. </w:t>
      </w:r>
      <w:r>
        <w:rPr>
          <w:rFonts w:ascii="Calibri" w:hAnsi="Calibri"/>
          <w:color w:val="525866"/>
          <w:sz w:val="22"/>
        </w:rPr>
        <w:t>Implication: Established a high-quality beat pattern and raised the bar for H2 2026.</w:t>
      </w:r>
    </w:p>
    <w:p>
      <w:pPr>
        <w:pStyle w:val="ListBullet"/>
        <w:ind w:left="360" w:hanging="360"/>
      </w:pPr>
      <w:r>
        <w:rPr>
          <w:rFonts w:ascii="Calibri" w:hAnsi="Calibri"/>
          <w:b/>
          <w:color w:val="525866"/>
          <w:sz w:val="22"/>
        </w:rPr>
        <w:t>May 7, 2026 — EPS Growth Algorithm Upgraded to '10-13-24':</w:t>
      </w:r>
      <w:r>
        <w:rPr>
          <w:rFonts w:ascii="Calibri" w:hAnsi="Calibri"/>
          <w:color w:val="525866"/>
          <w:sz w:val="22"/>
        </w:rPr>
        <w:t xml:space="preserve"> Management revised the midterm EPS growth target from 19% to 24%, driven by (1) stock viewed as significantly undervalued, increasing buyback yield, and (2) incremental leverage capacity as EBITDA grows. Board approved additional $1B share repurchase authorization, bringing total to ~$1.8B. </w:t>
      </w:r>
      <w:r>
        <w:rPr>
          <w:rFonts w:ascii="Calibri" w:hAnsi="Calibri"/>
          <w:color w:val="525866"/>
          <w:sz w:val="22"/>
        </w:rPr>
        <w:t>Implication: Signals management conviction in the valuation gap and provides a structural EPS tailwind.</w:t>
      </w:r>
    </w:p>
    <w:p>
      <w:pPr>
        <w:pStyle w:val="ListBullet"/>
        <w:ind w:left="360" w:hanging="360"/>
      </w:pPr>
      <w:r>
        <w:rPr>
          <w:rFonts w:ascii="Calibri" w:hAnsi="Calibri"/>
          <w:b/>
          <w:color w:val="525866"/>
          <w:sz w:val="22"/>
        </w:rPr>
        <w:t>May 7, 2026 — Credit Facility Refinancing Commitments Received:</w:t>
      </w:r>
      <w:r>
        <w:rPr>
          <w:rFonts w:ascii="Calibri" w:hAnsi="Calibri"/>
          <w:color w:val="525866"/>
          <w:sz w:val="22"/>
        </w:rPr>
        <w:t xml:space="preserve"> Revolver and Term Loan A refinancing commitments received, upsizing credit facility by &gt;$1B, extending maturity 5 years, and reducing interest rate by 10bps. $1B of proceeds to pay down Term Loan B maturing April 2028. Expected to result in lower overall interest expense. </w:t>
      </w:r>
      <w:r>
        <w:rPr>
          <w:rFonts w:ascii="Calibri" w:hAnsi="Calibri"/>
          <w:color w:val="525866"/>
          <w:sz w:val="22"/>
        </w:rPr>
        <w:t>Implication: Reduces near-term refinancing risk and modestly improves the interest expense outlook for H2 2026 and beyond.</w:t>
      </w:r>
    </w:p>
    <w:p>
      <w:pPr>
        <w:pStyle w:val="ListBullet"/>
        <w:ind w:left="360" w:hanging="360"/>
      </w:pPr>
      <w:r>
        <w:rPr>
          <w:rFonts w:ascii="Calibri" w:hAnsi="Calibri"/>
          <w:b/>
          <w:color w:val="525866"/>
          <w:sz w:val="22"/>
        </w:rPr>
        <w:t>May 13, 2026 — Cross-Border Business Teach-In:</w:t>
      </w:r>
      <w:r>
        <w:rPr>
          <w:rFonts w:ascii="Calibri" w:hAnsi="Calibri"/>
          <w:color w:val="525866"/>
          <w:sz w:val="22"/>
        </w:rPr>
        <w:t xml:space="preserve"> Dedicated investor event providing deep-dive on the cross-border segment. Key disclosures: ~$1.5B cross-border revenue expected in FY2026 (~30% of total); 97-98% retention; 20%+ new sales growth; 60% of volume on proprietary rails (netting); SWIFT share declining from ~40% to &lt;15% by year-end 2026 as private blockchain (JPMorgan Kinexys) takes share. </w:t>
      </w:r>
      <w:r>
        <w:rPr>
          <w:rFonts w:ascii="Calibri" w:hAnsi="Calibri"/>
          <w:color w:val="525866"/>
          <w:sz w:val="22"/>
        </w:rPr>
        <w:t>Implication: Increased investor transparency on the largest and fastest-growing segment; positive for multiple re-rating.</w:t>
      </w:r>
    </w:p>
    <w:p>
      <w:pPr>
        <w:pStyle w:val="ListBullet"/>
        <w:ind w:left="360" w:hanging="360"/>
      </w:pPr>
      <w:r>
        <w:rPr>
          <w:rFonts w:ascii="Calibri" w:hAnsi="Calibri"/>
          <w:b/>
          <w:color w:val="525866"/>
          <w:sz w:val="22"/>
        </w:rPr>
        <w:t>May 18, 2026 — JP Morgan Global Technology, Media and Communications Conference:</w:t>
      </w:r>
      <w:r>
        <w:rPr>
          <w:rFonts w:ascii="Calibri" w:hAnsi="Calibri"/>
          <w:color w:val="525866"/>
          <w:sz w:val="22"/>
        </w:rPr>
        <w:t xml:space="preserve"> Management reaffirmed Q2 and FY2026 setup, highlighted macro tailwinds (weaker USD, FX volatility, higher fuel prices), and confirmed Alpha migration on track for mid-summer. Noted $2B in free cash flow expected for FY2026. </w:t>
      </w:r>
      <w:r>
        <w:rPr>
          <w:rFonts w:ascii="Calibri" w:hAnsi="Calibri"/>
          <w:color w:val="525866"/>
          <w:sz w:val="22"/>
        </w:rPr>
        <w:t>Implication: Incremental confidence signal; no negative surprises.</w:t>
      </w:r>
    </w:p>
    <w:p>
      <w:pPr>
        <w:pStyle w:val="ListBullet"/>
        <w:ind w:left="360" w:hanging="360"/>
      </w:pPr>
      <w:r>
        <w:rPr>
          <w:rFonts w:ascii="Calibri" w:hAnsi="Calibri"/>
          <w:b/>
          <w:color w:val="525866"/>
          <w:sz w:val="22"/>
        </w:rPr>
        <w:t>June 9, 2026 — Morgan Stanley U.S. Financials Conference:</w:t>
      </w:r>
      <w:r>
        <w:rPr>
          <w:rFonts w:ascii="Calibri" w:hAnsi="Calibri"/>
          <w:color w:val="525866"/>
          <w:sz w:val="22"/>
        </w:rPr>
        <w:t xml:space="preserve"> Reaffirmed '10-13-24' EPS growth algorithm. Disclosed two businesses in market with ~$1B in combined divestiture proceeds, plus additional handful of businesses targeted for sale over next 1-2 years. Mastercard FI channel contribution revised slightly lower given larger cross-border base post-Alpha; definitive estimate deferred to 2027 guidance discussion. </w:t>
      </w:r>
      <w:r>
        <w:rPr>
          <w:rFonts w:ascii="Calibri" w:hAnsi="Calibri"/>
          <w:color w:val="525866"/>
          <w:sz w:val="22"/>
        </w:rPr>
        <w:t>Implication: Divestiture pipeline provides additional buyback fuel; Mastercard contribution revision is a modest negative but not material.</w:t>
      </w:r>
    </w:p>
    <w:p>
      <w:pPr>
        <w:pStyle w:val="ListBullet"/>
        <w:ind w:left="360" w:hanging="360"/>
      </w:pPr>
      <w:r>
        <w:rPr>
          <w:rFonts w:ascii="Calibri" w:hAnsi="Calibri"/>
          <w:b/>
          <w:color w:val="525866"/>
          <w:sz w:val="22"/>
        </w:rPr>
        <w:t>July 22, 2026 — Q2 2026 Earnings Date Announcement:</w:t>
      </w:r>
      <w:r>
        <w:rPr>
          <w:rFonts w:ascii="Calibri" w:hAnsi="Calibri"/>
          <w:color w:val="525866"/>
          <w:sz w:val="22"/>
        </w:rPr>
        <w:t xml:space="preserve"> Corpay confirmed Q2 2026 results will be released on August 5, 2026. </w:t>
      </w:r>
      <w:r>
        <w:rPr>
          <w:rFonts w:ascii="Calibri" w:hAnsi="Calibri"/>
          <w:color w:val="525866"/>
          <w:sz w:val="22"/>
        </w:rPr>
        <w:t>Implication: Routine disclosure; confirms timeline.</w:t>
      </w:r>
    </w:p>
    <w:p>
      <w:pPr>
        <w:pStyle w:val="ListBullet"/>
        <w:ind w:left="360" w:hanging="360"/>
      </w:pPr>
      <w:r>
        <w:rPr>
          <w:rFonts w:ascii="Calibri" w:hAnsi="Calibri"/>
          <w:b/>
          <w:color w:val="525866"/>
          <w:sz w:val="22"/>
        </w:rPr>
        <w:t>July 24, 2026 — Performance-Based Stock Unit Award (8-K):</w:t>
      </w:r>
      <w:r>
        <w:rPr>
          <w:rFonts w:ascii="Calibri" w:hAnsi="Calibri"/>
          <w:color w:val="525866"/>
          <w:sz w:val="22"/>
        </w:rPr>
        <w:t xml:space="preserve"> Corpay awarded executives performance-based stock units tied to ambitious price targets. </w:t>
      </w:r>
      <w:r>
        <w:rPr>
          <w:rFonts w:ascii="Calibri" w:hAnsi="Calibri"/>
          <w:color w:val="525866"/>
          <w:sz w:val="22"/>
        </w:rPr>
        <w:t>Implication: Strong signal of management's long-term conviction in the stock's upside potential; aligns executive incentives with shareholder value creation.</w:t>
      </w:r>
    </w:p>
    <w:p>
      <w:r>
        <w:br w:type="page"/>
      </w:r>
    </w:p>
    <w:p>
      <w:pPr>
        <w:pStyle w:val="Heading2"/>
      </w:pPr>
      <w:r>
        <w:rPr>
          <w:rFonts w:ascii="Calibri" w:hAnsi="Calibri"/>
          <w:b/>
          <w:color w:val="3B4259"/>
          <w:sz w:val="28"/>
        </w:rPr>
        <w:t>7. Peer Commentaries &amp; Read-Through</w:t>
      </w:r>
    </w:p>
    <w:p>
      <w:r>
        <w:rPr>
          <w:rFonts w:ascii="Calibri" w:hAnsi="Calibri"/>
          <w:b/>
          <w:color w:val="525866"/>
          <w:sz w:val="22"/>
        </w:rPr>
        <w:t xml:space="preserve">Key Takeaway: </w:t>
      </w:r>
      <w:r>
        <w:rPr>
          <w:rFonts w:ascii="Calibri" w:hAnsi="Calibri"/>
          <w:color w:val="525866"/>
          <w:sz w:val="22"/>
        </w:rPr>
        <w:t xml:space="preserve">Peer commentary from the last 60 days is broadly </w:t>
      </w:r>
      <w:r>
        <w:rPr>
          <w:rFonts w:ascii="Calibri" w:hAnsi="Calibri"/>
          <w:b/>
          <w:color w:val="525866"/>
          <w:sz w:val="22"/>
        </w:rPr>
        <w:t>constructive for CPAY's Q2 2026 print</w:t>
      </w:r>
      <w:r>
        <w:rPr>
          <w:rFonts w:ascii="Calibri" w:hAnsi="Calibri"/>
          <w:color w:val="525866"/>
          <w:sz w:val="22"/>
        </w:rPr>
        <w:t xml:space="preserve">: WEX's direct AP volume acceleration to 20% validates B2B payment demand; FLYW's travel outperformance supports Corpay's lodging recovery thesis; FIS confirms strong banking and payments demand. The primary negative read-through is from </w:t>
      </w:r>
      <w:r>
        <w:rPr>
          <w:rFonts w:ascii="Calibri" w:hAnsi="Calibri"/>
          <w:b/>
          <w:color w:val="525866"/>
          <w:sz w:val="22"/>
        </w:rPr>
        <w:t>GPN's explicit 100bps travel headwind from Middle East airline disruptions</w:t>
      </w:r>
      <w:r>
        <w:rPr>
          <w:rFonts w:ascii="Calibri" w:hAnsi="Calibri"/>
          <w:color w:val="525866"/>
          <w:sz w:val="22"/>
        </w:rPr>
        <w:t>, which could weigh on Corpay's lodging segment, and WEX's persistent same-store sales weakness in North American fleet, which is relevant to CPAY's US Vehicle Payments.</w:t>
      </w:r>
    </w:p>
    <w:p>
      <w:r>
        <w:rPr>
          <w:rFonts w:ascii="Calibri" w:hAnsi="Calibri"/>
          <w:color w:val="525866"/>
          <w:sz w:val="22"/>
        </w:rPr>
        <w:t>Note: Only commentary published June 5 – August 4, 2026 that addresses the peer's current or forward reporting quarter is included below. Retrospective commentary about completed periods has been excluded per the user's instruction.</w:t>
      </w:r>
    </w:p>
    <w:p>
      <w:pPr>
        <w:pStyle w:val="Heading3"/>
      </w:pPr>
      <w:r>
        <w:rPr>
          <w:rFonts w:ascii="Calibri" w:hAnsi="Calibri"/>
          <w:b/>
          <w:color w:val="3B4259"/>
          <w:sz w:val="24"/>
        </w:rPr>
        <w:t>WEX Inc. (WEX) — Q2 2026 Earnings Call, July 23, 2026</w:t>
      </w:r>
    </w:p>
    <w:p>
      <w:r>
        <w:rPr>
          <w:rFonts w:ascii="Calibri" w:hAnsi="Calibri"/>
          <w:color w:val="525866"/>
          <w:sz w:val="22"/>
        </w:rPr>
        <w:t>Reporting Period Covered: Q2 2026 (WEX's current quarter). Highly relevant peer in fleet/fuel cards and corporate payments (AP automation, virtual cards).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Direction</w:t>
            </w:r>
          </w:p>
        </w:tc>
        <w:tc>
          <w:tcPr>
            <w:tcW w:type="dxa" w:w="1728"/>
            <w:shd w:val="clear" w:color="auto" w:fill="3B4259"/>
          </w:tcPr>
          <w:p>
            <w:r>
              <w:rPr>
                <w:rFonts w:ascii="Calibri" w:hAnsi="Calibri"/>
                <w:b/>
                <w:color w:val="FFFFFF"/>
                <w:sz w:val="22"/>
              </w:rPr>
              <w:t>WEX Commentary</w:t>
            </w:r>
          </w:p>
        </w:tc>
        <w:tc>
          <w:tcPr>
            <w:tcW w:type="dxa" w:w="1728"/>
            <w:shd w:val="clear" w:color="auto" w:fill="3B4259"/>
          </w:tcPr>
          <w:p>
            <w:r>
              <w:rPr>
                <w:rFonts w:ascii="Calibri" w:hAnsi="Calibri"/>
                <w:b/>
                <w:color w:val="FFFFFF"/>
                <w:sz w:val="22"/>
              </w:rPr>
              <w:t>CPAY Read-Through</w:t>
            </w:r>
          </w:p>
        </w:tc>
        <w:tc>
          <w:tcPr>
            <w:tcW w:type="dxa" w:w="1728"/>
            <w:shd w:val="clear" w:color="auto" w:fill="3B4259"/>
          </w:tcPr>
          <w:p>
            <w:r>
              <w:rPr>
                <w:rFonts w:ascii="Calibri" w:hAnsi="Calibri"/>
                <w:b/>
                <w:color w:val="FFFFFF"/>
                <w:sz w:val="22"/>
              </w:rPr>
              <w:t>Limitations</w:t>
            </w:r>
          </w:p>
        </w:tc>
      </w:tr>
      <w:tr>
        <w:tc>
          <w:tcPr>
            <w:tcW w:type="dxa" w:w="1728"/>
          </w:tcPr>
          <w:p>
            <w:r>
              <w:rPr>
                <w:rFonts w:ascii="Calibri" w:hAnsi="Calibri"/>
                <w:sz w:val="22"/>
              </w:rPr>
              <w:t>Fuel / Fleet Spend</w:t>
            </w:r>
          </w:p>
        </w:tc>
        <w:tc>
          <w:tcPr>
            <w:tcW w:type="dxa" w:w="1728"/>
          </w:tcPr>
          <w:p>
            <w:r>
              <w:rPr>
                <w:rFonts w:ascii="Calibri" w:hAnsi="Calibri"/>
                <w:b/>
                <w:sz w:val="22"/>
              </w:rPr>
              <w:t>Mixed</w:t>
            </w:r>
          </w:p>
        </w:tc>
        <w:tc>
          <w:tcPr>
            <w:tcW w:type="dxa" w:w="1728"/>
          </w:tcPr>
          <w:p>
            <w:r>
              <w:rPr>
                <w:rFonts w:ascii="Calibri" w:hAnsi="Calibri"/>
                <w:sz w:val="22"/>
              </w:rPr>
              <w:t>Transaction trends stabilizing; payment processing transactions flat YoY but +6.8% sequentially. Demand side "still constrained by broader economic conditions" — "not seeing more miles driven." Same-store sales weakness "pretty consistent across the portfolio." Ten Four product seeing "significant user growth as fuel prices increased."</w:t>
            </w:r>
          </w:p>
        </w:tc>
        <w:tc>
          <w:tcPr>
            <w:tcW w:type="dxa" w:w="1728"/>
          </w:tcPr>
          <w:p>
            <w:r>
              <w:rPr>
                <w:rFonts w:ascii="Calibri" w:hAnsi="Calibri"/>
                <w:sz w:val="22"/>
              </w:rPr>
              <w:t>Stabilization in fleet volumes is a modest positive for CPAY's US Vehicle Payments, but persistent same-store sales weakness and no volume recovery signal continued headwinds for the segment. Higher fuel prices are a net positive for CPAY's spread-based revenue.</w:t>
            </w:r>
          </w:p>
        </w:tc>
        <w:tc>
          <w:tcPr>
            <w:tcW w:type="dxa" w:w="1728"/>
          </w:tcPr>
          <w:p>
            <w:r>
              <w:rPr>
                <w:rFonts w:ascii="Calibri" w:hAnsi="Calibri"/>
                <w:sz w:val="22"/>
              </w:rPr>
              <w:t>CPAY's US Vehicle Payments is now its smallest geography (~10% of total revenue); WEX is more concentrated in North American fleet. CPAY's Brazil and Europe geographies are growing faster and may offset US softness.</w:t>
            </w:r>
          </w:p>
        </w:tc>
      </w:tr>
      <w:tr>
        <w:tc>
          <w:tcPr>
            <w:tcW w:type="dxa" w:w="1728"/>
          </w:tcPr>
          <w:p>
            <w:r>
              <w:rPr>
                <w:rFonts w:ascii="Calibri" w:hAnsi="Calibri"/>
                <w:sz w:val="22"/>
              </w:rPr>
              <w:t>Corporate Payments / B2B AP</w:t>
            </w:r>
          </w:p>
        </w:tc>
        <w:tc>
          <w:tcPr>
            <w:tcW w:type="dxa" w:w="1728"/>
          </w:tcPr>
          <w:p>
            <w:r>
              <w:rPr>
                <w:rFonts w:ascii="Calibri" w:hAnsi="Calibri"/>
                <w:b/>
                <w:color w:val="30A46C"/>
                <w:sz w:val="22"/>
              </w:rPr>
              <w:t>Positive</w:t>
            </w:r>
          </w:p>
        </w:tc>
        <w:tc>
          <w:tcPr>
            <w:tcW w:type="dxa" w:w="1728"/>
          </w:tcPr>
          <w:p>
            <w:r>
              <w:rPr>
                <w:rFonts w:ascii="Calibri" w:hAnsi="Calibri"/>
                <w:sz w:val="22"/>
              </w:rPr>
              <w:t>Direct AP volume growth accelerated to 20% in Q2 2026, expected to continue at mid-teens for the remainder of the year. "Healthy pipelines from both Non-travel embedded payments and direct AP businesses." AI-based lead generation tool "going really well" in corporate payments.</w:t>
            </w:r>
          </w:p>
        </w:tc>
        <w:tc>
          <w:tcPr>
            <w:tcW w:type="dxa" w:w="1728"/>
          </w:tcPr>
          <w:p>
            <w:r>
              <w:rPr>
                <w:rFonts w:ascii="Calibri" w:hAnsi="Calibri"/>
                <w:sz w:val="22"/>
              </w:rPr>
              <w:t>Strong read-through for CPAY's Corporate Payments segment, particularly AP automation (payables business). 20% AP volume growth at WEX is consistent with CPAY's own high-teens payables growth narrative and validates the demand environment for B2B payment automation.</w:t>
            </w:r>
          </w:p>
        </w:tc>
        <w:tc>
          <w:tcPr>
            <w:tcW w:type="dxa" w:w="1728"/>
          </w:tcPr>
          <w:p>
            <w:r>
              <w:rPr>
                <w:rFonts w:ascii="Calibri" w:hAnsi="Calibri"/>
                <w:sz w:val="22"/>
              </w:rPr>
              <w:t>WEX's AP business is smaller and more concentrated in specific verticals (OTR, travel). CPAY's payables business has a broader mid-market focus and includes cross-border, which WEX does not.</w:t>
            </w:r>
          </w:p>
        </w:tc>
      </w:tr>
      <w:tr>
        <w:tc>
          <w:tcPr>
            <w:tcW w:type="dxa" w:w="1728"/>
          </w:tcPr>
          <w:p>
            <w:r>
              <w:rPr>
                <w:rFonts w:ascii="Calibri" w:hAnsi="Calibri"/>
                <w:sz w:val="22"/>
              </w:rPr>
              <w:t>FX / Cross-Border</w:t>
            </w:r>
          </w:p>
        </w:tc>
        <w:tc>
          <w:tcPr>
            <w:tcW w:type="dxa" w:w="1728"/>
          </w:tcPr>
          <w:p>
            <w:r>
              <w:rPr>
                <w:rFonts w:ascii="Calibri" w:hAnsi="Calibri"/>
                <w:b/>
                <w:color w:val="30A46C"/>
                <w:sz w:val="22"/>
              </w:rPr>
              <w:t>Positive</w:t>
            </w:r>
          </w:p>
        </w:tc>
        <w:tc>
          <w:tcPr>
            <w:tcW w:type="dxa" w:w="1728"/>
          </w:tcPr>
          <w:p>
            <w:r>
              <w:rPr>
                <w:rFonts w:ascii="Calibri" w:hAnsi="Calibri"/>
                <w:sz w:val="22"/>
              </w:rPr>
              <w:t>FX rates and fuel prices increased WEX's Q2 revenue growth by 10% and drove 25.4 points of WEX's 35.4% adjusted EPS growth. Active international expansion with large OTA customer in Brazil.</w:t>
            </w:r>
          </w:p>
        </w:tc>
        <w:tc>
          <w:tcPr>
            <w:tcW w:type="dxa" w:w="1728"/>
          </w:tcPr>
          <w:p>
            <w:r>
              <w:rPr>
                <w:rFonts w:ascii="Calibri" w:hAnsi="Calibri"/>
                <w:sz w:val="22"/>
              </w:rPr>
              <w:t>Favorable FX environment in Q2 is a positive read-through for CPAY's cross-border segment, which benefits from currency volatility and a weaker USD (50% of CPAY revenues are overseas). Consistent with CPAY management's own commentary that "the world is on our side right now."</w:t>
            </w:r>
          </w:p>
        </w:tc>
        <w:tc>
          <w:tcPr>
            <w:tcW w:type="dxa" w:w="1728"/>
          </w:tcPr>
          <w:p>
            <w:r>
              <w:rPr>
                <w:rFonts w:ascii="Calibri" w:hAnsi="Calibri"/>
                <w:sz w:val="22"/>
              </w:rPr>
              <w:t>WEX's FX exposure is primarily through its international fleet operations, not a dedicated cross-border payments business. CPAY's cross-border segment is structurally different and much larger.</w:t>
            </w:r>
          </w:p>
        </w:tc>
      </w:tr>
      <w:tr>
        <w:tc>
          <w:tcPr>
            <w:tcW w:type="dxa" w:w="1728"/>
          </w:tcPr>
          <w:p>
            <w:r>
              <w:rPr>
                <w:rFonts w:ascii="Calibri" w:hAnsi="Calibri"/>
                <w:sz w:val="22"/>
              </w:rPr>
              <w:t>Travel / Lodging</w:t>
            </w:r>
          </w:p>
        </w:tc>
        <w:tc>
          <w:tcPr>
            <w:tcW w:type="dxa" w:w="1728"/>
          </w:tcPr>
          <w:p>
            <w:r>
              <w:rPr>
                <w:rFonts w:ascii="Calibri" w:hAnsi="Calibri"/>
                <w:b/>
                <w:sz w:val="22"/>
              </w:rPr>
              <w:t>Neutral</w:t>
            </w:r>
          </w:p>
        </w:tc>
        <w:tc>
          <w:tcPr>
            <w:tcW w:type="dxa" w:w="1728"/>
          </w:tcPr>
          <w:p>
            <w:r>
              <w:rPr>
                <w:rFonts w:ascii="Calibri" w:hAnsi="Calibri"/>
                <w:sz w:val="22"/>
              </w:rPr>
              <w:t>Total travel volume +6.4% but segment purchase volume -3.6% due to timing shift of a large OTA customer from Q2 to H2. Expects travel purchase volumes to increase in H2 at "high single digit to low double digit rates."</w:t>
            </w:r>
          </w:p>
        </w:tc>
        <w:tc>
          <w:tcPr>
            <w:tcW w:type="dxa" w:w="1728"/>
          </w:tcPr>
          <w:p>
            <w:r>
              <w:rPr>
                <w:rFonts w:ascii="Calibri" w:hAnsi="Calibri"/>
                <w:sz w:val="22"/>
              </w:rPr>
              <w:t>Timing lumpiness in WEX's travel volumes is idiosyncratic to their OTA client concentration. The H2 recovery expectation is a mild positive for CPAY's lodging segment, which management already guided to mid-to-high single digit growth in H2 2026.</w:t>
            </w:r>
          </w:p>
        </w:tc>
        <w:tc>
          <w:tcPr>
            <w:tcW w:type="dxa" w:w="1728"/>
          </w:tcPr>
          <w:p>
            <w:r>
              <w:rPr>
                <w:rFonts w:ascii="Calibri" w:hAnsi="Calibri"/>
                <w:sz w:val="22"/>
              </w:rPr>
              <w:t>WEX's travel business is primarily OTA-focused virtual card processing; CPAY's lodging business is a direct payment network for hotels. Different client profiles and revenue drivers.</w:t>
            </w:r>
          </w:p>
        </w:tc>
      </w:tr>
      <w:tr>
        <w:tc>
          <w:tcPr>
            <w:tcW w:type="dxa" w:w="1728"/>
          </w:tcPr>
          <w:p>
            <w:r>
              <w:rPr>
                <w:rFonts w:ascii="Calibri" w:hAnsi="Calibri"/>
                <w:sz w:val="22"/>
              </w:rPr>
              <w:t>SMB / Macro</w:t>
            </w:r>
          </w:p>
        </w:tc>
        <w:tc>
          <w:tcPr>
            <w:tcW w:type="dxa" w:w="1728"/>
          </w:tcPr>
          <w:p>
            <w:r>
              <w:rPr>
                <w:rFonts w:ascii="Calibri" w:hAnsi="Calibri"/>
                <w:b/>
                <w:color w:val="E5484D"/>
                <w:sz w:val="22"/>
              </w:rPr>
              <w:t>Negative</w:t>
            </w:r>
          </w:p>
        </w:tc>
        <w:tc>
          <w:tcPr>
            <w:tcW w:type="dxa" w:w="1728"/>
          </w:tcPr>
          <w:p>
            <w:r>
              <w:rPr>
                <w:rFonts w:ascii="Calibri" w:hAnsi="Calibri"/>
                <w:sz w:val="22"/>
              </w:rPr>
              <w:t>"Demand side which impacts our volumes is still constrained by broader economic conditions." Guidance assumes macro state "continues through end of year" with no rebound. Customers "increasingly focused on controlling expenses."</w:t>
            </w:r>
          </w:p>
        </w:tc>
        <w:tc>
          <w:tcPr>
            <w:tcW w:type="dxa" w:w="1728"/>
          </w:tcPr>
          <w:p>
            <w:r>
              <w:rPr>
                <w:rFonts w:ascii="Calibri" w:hAnsi="Calibri"/>
                <w:sz w:val="22"/>
              </w:rPr>
              <w:t>Weak macro backdrop is a headwind for CPAY's US Vehicle Payments same-store sales, which only turned positive (+1%) in Q1 2026. A sustained macro constraint could limit the pace of the US fleet recovery.</w:t>
            </w:r>
          </w:p>
        </w:tc>
        <w:tc>
          <w:tcPr>
            <w:tcW w:type="dxa" w:w="1728"/>
          </w:tcPr>
          <w:p>
            <w:r>
              <w:rPr>
                <w:rFonts w:ascii="Calibri" w:hAnsi="Calibri"/>
                <w:sz w:val="22"/>
              </w:rPr>
              <w:t>CPAY's overall organic growth is less macro-sensitive than WEX's given the higher mix of Corporate Payments (which is driven by new sales and wallet share gains, not macro volumes).</w:t>
            </w:r>
          </w:p>
        </w:tc>
      </w:tr>
    </w:tbl>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Net Direction</w:t>
            </w:r>
          </w:p>
        </w:tc>
        <w:tc>
          <w:tcPr>
            <w:tcW w:type="dxa" w:w="2160"/>
            <w:shd w:val="clear" w:color="auto" w:fill="3B4259"/>
          </w:tcPr>
          <w:p>
            <w:r>
              <w:rPr>
                <w:rFonts w:ascii="Calibri" w:hAnsi="Calibri"/>
                <w:b/>
                <w:color w:val="FFFFFF"/>
                <w:sz w:val="22"/>
              </w:rPr>
              <w:t>Key Signal</w:t>
            </w:r>
          </w:p>
        </w:tc>
        <w:tc>
          <w:tcPr>
            <w:tcW w:type="dxa" w:w="2160"/>
            <w:shd w:val="clear" w:color="auto" w:fill="3B4259"/>
          </w:tcPr>
          <w:p>
            <w:r>
              <w:rPr>
                <w:rFonts w:ascii="Calibri" w:hAnsi="Calibri"/>
                <w:b/>
                <w:color w:val="FFFFFF"/>
                <w:sz w:val="22"/>
              </w:rPr>
              <w:t>Most Relevant Peer</w:t>
            </w:r>
          </w:p>
        </w:tc>
      </w:tr>
      <w:tr>
        <w:tc>
          <w:tcPr>
            <w:tcW w:type="dxa" w:w="2160"/>
          </w:tcPr>
          <w:p>
            <w:r>
              <w:rPr>
                <w:rFonts w:ascii="Calibri" w:hAnsi="Calibri"/>
                <w:sz w:val="22"/>
              </w:rPr>
              <w:t>B2B / AP Automation Demand</w:t>
            </w:r>
          </w:p>
        </w:tc>
        <w:tc>
          <w:tcPr>
            <w:tcW w:type="dxa" w:w="2160"/>
          </w:tcPr>
          <w:p>
            <w:r>
              <w:rPr>
                <w:rFonts w:ascii="Calibri" w:hAnsi="Calibri"/>
                <w:b/>
                <w:color w:val="30A46C"/>
                <w:sz w:val="22"/>
              </w:rPr>
              <w:t>Positive</w:t>
            </w:r>
          </w:p>
        </w:tc>
        <w:tc>
          <w:tcPr>
            <w:tcW w:type="dxa" w:w="2160"/>
          </w:tcPr>
          <w:p>
            <w:r>
              <w:rPr>
                <w:rFonts w:ascii="Calibri" w:hAnsi="Calibri"/>
                <w:sz w:val="22"/>
              </w:rPr>
              <w:t>WEX direct AP volume +20%; FLYW B2B processing ramping faster than planned</w:t>
            </w:r>
          </w:p>
        </w:tc>
        <w:tc>
          <w:tcPr>
            <w:tcW w:type="dxa" w:w="2160"/>
          </w:tcPr>
          <w:p>
            <w:r>
              <w:rPr>
                <w:rFonts w:ascii="Calibri" w:hAnsi="Calibri"/>
                <w:sz w:val="22"/>
              </w:rPr>
              <w:t>WEX, FLYW</w:t>
            </w:r>
          </w:p>
        </w:tc>
      </w:tr>
      <w:tr>
        <w:tc>
          <w:tcPr>
            <w:tcW w:type="dxa" w:w="2160"/>
          </w:tcPr>
          <w:p>
            <w:r>
              <w:rPr>
                <w:rFonts w:ascii="Calibri" w:hAnsi="Calibri"/>
                <w:sz w:val="22"/>
              </w:rPr>
              <w:t>Cross-Border / FX Environment</w:t>
            </w:r>
          </w:p>
        </w:tc>
        <w:tc>
          <w:tcPr>
            <w:tcW w:type="dxa" w:w="2160"/>
          </w:tcPr>
          <w:p>
            <w:r>
              <w:rPr>
                <w:rFonts w:ascii="Calibri" w:hAnsi="Calibri"/>
                <w:b/>
                <w:color w:val="30A46C"/>
                <w:sz w:val="22"/>
              </w:rPr>
              <w:t>Positive</w:t>
            </w:r>
          </w:p>
        </w:tc>
        <w:tc>
          <w:tcPr>
            <w:tcW w:type="dxa" w:w="2160"/>
          </w:tcPr>
          <w:p>
            <w:r>
              <w:rPr>
                <w:rFonts w:ascii="Calibri" w:hAnsi="Calibri"/>
                <w:sz w:val="22"/>
              </w:rPr>
              <w:t>WEX FX tailwind +10% to revenue; FIS international bank wins; GPN FX demand strong</w:t>
            </w:r>
          </w:p>
        </w:tc>
        <w:tc>
          <w:tcPr>
            <w:tcW w:type="dxa" w:w="2160"/>
          </w:tcPr>
          <w:p>
            <w:r>
              <w:rPr>
                <w:rFonts w:ascii="Calibri" w:hAnsi="Calibri"/>
                <w:sz w:val="22"/>
              </w:rPr>
              <w:t>WEX, FIS</w:t>
            </w:r>
          </w:p>
        </w:tc>
      </w:tr>
      <w:tr>
        <w:tc>
          <w:tcPr>
            <w:tcW w:type="dxa" w:w="2160"/>
          </w:tcPr>
          <w:p>
            <w:r>
              <w:rPr>
                <w:rFonts w:ascii="Calibri" w:hAnsi="Calibri"/>
                <w:sz w:val="22"/>
              </w:rPr>
              <w:t>Travel / Lodging</w:t>
            </w:r>
          </w:p>
        </w:tc>
        <w:tc>
          <w:tcPr>
            <w:tcW w:type="dxa" w:w="2160"/>
          </w:tcPr>
          <w:p>
            <w:r>
              <w:rPr>
                <w:rFonts w:ascii="Calibri" w:hAnsi="Calibri"/>
                <w:b/>
                <w:sz w:val="22"/>
              </w:rPr>
              <w:t>Mixed</w:t>
            </w:r>
          </w:p>
        </w:tc>
        <w:tc>
          <w:tcPr>
            <w:tcW w:type="dxa" w:w="2160"/>
          </w:tcPr>
          <w:p>
            <w:r>
              <w:rPr>
                <w:rFonts w:ascii="Calibri" w:hAnsi="Calibri"/>
                <w:sz w:val="22"/>
              </w:rPr>
              <w:t>FLYW hospitality outperforming; GPN 100bps headwind from Middle East airline disruptions</w:t>
            </w:r>
          </w:p>
        </w:tc>
        <w:tc>
          <w:tcPr>
            <w:tcW w:type="dxa" w:w="2160"/>
          </w:tcPr>
          <w:p>
            <w:r>
              <w:rPr>
                <w:rFonts w:ascii="Calibri" w:hAnsi="Calibri"/>
                <w:sz w:val="22"/>
              </w:rPr>
              <w:t>FLYW (positive), GPN (negative)</w:t>
            </w:r>
          </w:p>
        </w:tc>
      </w:tr>
      <w:tr>
        <w:tc>
          <w:tcPr>
            <w:tcW w:type="dxa" w:w="2160"/>
          </w:tcPr>
          <w:p>
            <w:r>
              <w:rPr>
                <w:rFonts w:ascii="Calibri" w:hAnsi="Calibri"/>
                <w:sz w:val="22"/>
              </w:rPr>
              <w:t>Fleet / Fuel Spend</w:t>
            </w:r>
          </w:p>
        </w:tc>
        <w:tc>
          <w:tcPr>
            <w:tcW w:type="dxa" w:w="2160"/>
          </w:tcPr>
          <w:p>
            <w:r>
              <w:rPr>
                <w:rFonts w:ascii="Calibri" w:hAnsi="Calibri"/>
                <w:b/>
                <w:sz w:val="22"/>
              </w:rPr>
              <w:t>Mixed</w:t>
            </w:r>
          </w:p>
        </w:tc>
        <w:tc>
          <w:tcPr>
            <w:tcW w:type="dxa" w:w="2160"/>
          </w:tcPr>
          <w:p>
            <w:r>
              <w:rPr>
                <w:rFonts w:ascii="Calibri" w:hAnsi="Calibri"/>
                <w:sz w:val="22"/>
              </w:rPr>
              <w:t>WEX transaction stabilization but demand-side constrained; higher fuel prices positive for CPAY spread revenue</w:t>
            </w:r>
          </w:p>
        </w:tc>
        <w:tc>
          <w:tcPr>
            <w:tcW w:type="dxa" w:w="2160"/>
          </w:tcPr>
          <w:p>
            <w:r>
              <w:rPr>
                <w:rFonts w:ascii="Calibri" w:hAnsi="Calibri"/>
                <w:sz w:val="22"/>
              </w:rPr>
              <w:t>WEX</w:t>
            </w:r>
          </w:p>
        </w:tc>
      </w:tr>
      <w:tr>
        <w:tc>
          <w:tcPr>
            <w:tcW w:type="dxa" w:w="2160"/>
          </w:tcPr>
          <w:p>
            <w:r>
              <w:rPr>
                <w:rFonts w:ascii="Calibri" w:hAnsi="Calibri"/>
                <w:sz w:val="22"/>
              </w:rPr>
              <w:t>Banking / FI Demand</w:t>
            </w:r>
          </w:p>
        </w:tc>
        <w:tc>
          <w:tcPr>
            <w:tcW w:type="dxa" w:w="2160"/>
          </w:tcPr>
          <w:p>
            <w:r>
              <w:rPr>
                <w:rFonts w:ascii="Calibri" w:hAnsi="Calibri"/>
                <w:b/>
                <w:color w:val="30A46C"/>
                <w:sz w:val="22"/>
              </w:rPr>
              <w:t>Positive</w:t>
            </w:r>
          </w:p>
        </w:tc>
        <w:tc>
          <w:tcPr>
            <w:tcW w:type="dxa" w:w="2160"/>
          </w:tcPr>
          <w:p>
            <w:r>
              <w:rPr>
                <w:rFonts w:ascii="Calibri" w:hAnsi="Calibri"/>
                <w:sz w:val="22"/>
              </w:rPr>
              <w:t>FIS banking demand "really strong"; double-digit ACV growth; supports CPAY Mastercard FI channel</w:t>
            </w:r>
          </w:p>
        </w:tc>
        <w:tc>
          <w:tcPr>
            <w:tcW w:type="dxa" w:w="2160"/>
          </w:tcPr>
          <w:p>
            <w:r>
              <w:rPr>
                <w:rFonts w:ascii="Calibri" w:hAnsi="Calibri"/>
                <w:sz w:val="22"/>
              </w:rPr>
              <w:t>FIS</w:t>
            </w:r>
          </w:p>
        </w:tc>
      </w:tr>
      <w:tr>
        <w:tc>
          <w:tcPr>
            <w:tcW w:type="dxa" w:w="2160"/>
          </w:tcPr>
          <w:p>
            <w:r>
              <w:rPr>
                <w:rFonts w:ascii="Calibri" w:hAnsi="Calibri"/>
                <w:sz w:val="22"/>
              </w:rPr>
              <w:t>Macro / SMB</w:t>
            </w:r>
          </w:p>
        </w:tc>
        <w:tc>
          <w:tcPr>
            <w:tcW w:type="dxa" w:w="2160"/>
          </w:tcPr>
          <w:p>
            <w:r>
              <w:rPr>
                <w:rFonts w:ascii="Calibri" w:hAnsi="Calibri"/>
                <w:b/>
                <w:color w:val="E5484D"/>
                <w:sz w:val="22"/>
              </w:rPr>
              <w:t>Negative</w:t>
            </w:r>
          </w:p>
        </w:tc>
        <w:tc>
          <w:tcPr>
            <w:tcW w:type="dxa" w:w="2160"/>
          </w:tcPr>
          <w:p>
            <w:r>
              <w:rPr>
                <w:rFonts w:ascii="Calibri" w:hAnsi="Calibri"/>
                <w:sz w:val="22"/>
              </w:rPr>
              <w:t>WEX and FLYW both cite "challenging" or "constrained" macro; no volume rebound expected</w:t>
            </w:r>
          </w:p>
        </w:tc>
        <w:tc>
          <w:tcPr>
            <w:tcW w:type="dxa" w:w="2160"/>
          </w:tcPr>
          <w:p>
            <w:r>
              <w:rPr>
                <w:rFonts w:ascii="Calibri" w:hAnsi="Calibri"/>
                <w:sz w:val="22"/>
              </w:rPr>
              <w:t>WEX, FLYW</w:t>
            </w:r>
          </w:p>
        </w:tc>
      </w:tr>
    </w:tbl>
    <w:p>
      <w:r>
        <w:rPr>
          <w:rFonts w:ascii="Calibri" w:hAnsi="Calibri"/>
          <w:color w:val="525866"/>
          <w:sz w:val="22"/>
        </w:rPr>
        <w:t>Source: SEC Form 4 Filings Database (filing date window: May 7 – August 4, 2026). Open-market transactions only (transaction codes P/S). No 10b5-1 plan initiations were filed in the period. The cluster of Armando Lins Netto sales in late May and mid-June (totaling ~75,454 shares) is notable in size but occurred at prices in the $330–$360 range, well below the current ~$385 level, suggesting the sales were not driven by a view that the stock was overvalued at those levels. The absence of any open-market purchases by insiders is consistent with the company's stated preference to express conviction through the corporate buyback program rather than individual insider purchases.</w:t>
      </w:r>
    </w:p>
    <w:p>
      <w:r>
        <w:rPr>
          <w:rFonts w:ascii="Calibri" w:hAnsi="Calibri"/>
          <w:b/>
          <w:color w:val="525866"/>
          <w:sz w:val="22"/>
        </w:rPr>
        <w:t xml:space="preserve">Disclaimer: </w:t>
      </w:r>
      <w:r>
        <w:rPr>
          <w:rFonts w:ascii="Calibri" w:hAnsi="Calibri"/>
          <w:color w:val="525866"/>
          <w:sz w:val="22"/>
        </w:rPr>
        <w:t>This document is prepared for informational purposes only and does not constitute investment advice. All consensus estimates sourced from Visible Alpha. Insider transaction data sourced from SEC Form 4 filings. Stock price data sourced from Yahoo Finance. Management commentary sourced from publicly available earnings call transcripts and conference presentations. Prepared: August 4,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