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rl-earnings-predictions--2026-08-05"/>
    <w:p>
      <w:pPr>
        <w:pStyle w:val="Heading1"/>
      </w:pPr>
      <w:r>
        <w:t xml:space="preserve">CRL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~$980M vs. cons $970.8M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(non-GAAP)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~$2.83 vs. cons $2.72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DSA segment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~-1.0% vs. cons ~-2.0%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10.80</m:t>
              </m:r>
              <m:r>
                <m:rPr>
                  <m:sty m:val="p"/>
                </m:rPr>
                <m:t>−</m:t>
              </m:r>
            </m:oMath>
            <w:r>
              <w:t xml:space="preserve">11.30 (midpoint ~</w:t>
            </w:r>
            <m:oMath>
              <m:r>
                <m:t>11.05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11.05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~-0.5% to -1.5% (midpoint ~-1.0%) vs. cons ~-1.0%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vs H1 operating margin step-up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~500bps H2-over-H1 improvement vs. cons ~500bps expected (H2 2026 vs H1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DSA return to organic growth / book-to-bill sustaining above 1.0x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~1.0-1.05x book-to-bill maintained vs. cons ~1.04x expected (H2 2026 inflection)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(STABILIZE)</w:t>
            </w:r>
          </w:p>
        </w:tc>
        <w:tc>
          <w:tcPr/>
          <w:p>
            <w:pPr>
              <w:pStyle w:val="Compact"/>
            </w:pPr>
            <w:r>
              <w:t xml:space="preserve">Consensus already embedded management's own guided ~30%+ sequential EPS ramp, so a modest beat with FY26 guidance merely reaffirmed (not raised) offers little incremental upside catalyst after a 55%+ run off May lows to near cycle highs; this sets up an initial sell-the-news/profit-taking reaction on day 1. But because the H2 margin bridge and DSA book-to-bill trends are confirmed intact (not deteriorating) and both divestitures are fully closed and accretive, there is no fresh negative revision catalyst to drive a deeper cut to out-quarter numbers, so the stock likely stabilizes near the post-print level into the September Investor Day rather than extending losses (fade continuing lower) or fully round-tripping back to new highs (follow-through higher).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2026-08-05T00:27:49Z</dcterms:created>
  <dcterms:modified xsi:type="dcterms:W3CDTF">2026-08-05T00:27:49Z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