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rl-2026q2-earnings-preview"/>
    <w:p>
      <w:pPr>
        <w:pStyle w:val="Heading1"/>
      </w:pPr>
      <w:r>
        <w:t xml:space="preserve">CRL 2026Q2 Earnings Preview</w:t>
      </w:r>
    </w:p>
    <w:p>
      <w:pPr>
        <w:pStyle w:val="BlockText"/>
      </w:pPr>
      <w:r>
        <w:rPr>
          <w:b/>
          <w:bCs/>
        </w:rPr>
        <w:t xml:space="preserve">Timing note:</w:t>
      </w:r>
      <w:r>
        <w:t xml:space="preserve"> </w:t>
      </w:r>
      <w:r>
        <w:t xml:space="preserve">Charles River Laboratories is scheduled to report</w:t>
      </w:r>
      <w:r>
        <w:t xml:space="preserve"> </w:t>
      </w:r>
      <w:r>
        <w:rPr>
          <w:b/>
          <w:bCs/>
        </w:rPr>
        <w:t xml:space="preserve">today, Wednesday, August 5, 2026</w:t>
      </w:r>
      <w:r>
        <w:t xml:space="preserve">, before the market opens—not tomorrow—with the earnings call at</w:t>
      </w:r>
      <w:r>
        <w:t xml:space="preserve"> </w:t>
      </w:r>
      <w:r>
        <w:rPr>
          <w:b/>
          <w:bCs/>
        </w:rPr>
        <w:t xml:space="preserve">9:00 a.m. ET</w:t>
      </w:r>
      <w:r>
        <w:t xml:space="preserve">. (</w:t>
      </w:r>
      <w:hyperlink r:id="rId9">
        <w:r>
          <w:rPr>
            <w:rStyle w:val="Hyperlink"/>
          </w:rPr>
          <w:t xml:space="preserve">ir.criver.com</w:t>
        </w:r>
      </w:hyperlink>
      <w:r>
        <w:t xml:space="preserve">)</w:t>
      </w:r>
    </w:p>
    <w:bookmarkStart w:id="10" w:name="investment-view-going-into-the-report"/>
    <w:p>
      <w:pPr>
        <w:pStyle w:val="Heading2"/>
      </w:pPr>
      <w:r>
        <w:t xml:space="preserve">Investment view going into the report</w:t>
      </w:r>
    </w:p>
    <w:p>
      <w:pPr>
        <w:pStyle w:val="FirstParagraph"/>
      </w:pPr>
      <w:r>
        <w:t xml:space="preserve">This quarter is primarily a test of</w:t>
      </w:r>
      <w:r>
        <w:t xml:space="preserve"> </w:t>
      </w:r>
      <w:r>
        <w:rPr>
          <w:b/>
          <w:bCs/>
        </w:rPr>
        <w:t xml:space="preserve">margin execution and forward demand</w:t>
      </w:r>
      <w:r>
        <w:t xml:space="preserve">, rather than reported revenue growth. The divestitures completed during Q2 will create a sizable reported-revenue decline, so investors should focus on:</w:t>
      </w:r>
    </w:p>
    <w:p>
      <w:pPr>
        <w:pStyle w:val="Compact"/>
        <w:numPr>
          <w:ilvl w:val="0"/>
          <w:numId w:val="1001"/>
        </w:numPr>
      </w:pPr>
      <w:r>
        <w:t xml:space="preserve">Whether Discovery and Safety Assessment, or</w:t>
      </w:r>
      <w:r>
        <w:t xml:space="preserve"> </w:t>
      </w:r>
      <w:r>
        <w:rPr>
          <w:b/>
          <w:bCs/>
        </w:rPr>
        <w:t xml:space="preserve">DSA</w:t>
      </w:r>
      <w:r>
        <w:t xml:space="preserve">, bookings still point to second-half organic growth.</w:t>
      </w:r>
    </w:p>
    <w:p>
      <w:pPr>
        <w:pStyle w:val="Compact"/>
        <w:numPr>
          <w:ilvl w:val="0"/>
          <w:numId w:val="1001"/>
        </w:numPr>
      </w:pPr>
      <w:r>
        <w:t xml:space="preserve">Whether the promised sequential margin recovery has begun.</w:t>
      </w:r>
    </w:p>
    <w:p>
      <w:pPr>
        <w:pStyle w:val="Compact"/>
        <w:numPr>
          <w:ilvl w:val="0"/>
          <w:numId w:val="1001"/>
        </w:numPr>
      </w:pPr>
      <w:r>
        <w:t xml:space="preserve">Whether management reaffirms or raises its back-half-heavy 2026 outlook.</w:t>
      </w:r>
    </w:p>
    <w:p>
      <w:pPr>
        <w:pStyle w:val="Compact"/>
        <w:numPr>
          <w:ilvl w:val="0"/>
          <w:numId w:val="1001"/>
        </w:numPr>
      </w:pPr>
      <w:r>
        <w:t xml:space="preserve">Whether the streamlined portfolio can generate sustainably better margins—not merely temporary cost savings.</w:t>
      </w:r>
    </w:p>
    <w:p>
      <w:pPr>
        <w:pStyle w:val="FirstParagraph"/>
      </w:pPr>
      <w:r>
        <w:t xml:space="preserve">CRL has already rebounded sharply from its May lows, increasing the hurdle for a favorable reaction. A modest EPS beat may not be enough without healthy bookings and credible second-half guidance.</w:t>
      </w:r>
    </w:p>
    <w:bookmarkEnd w:id="10"/>
    <w:bookmarkStart w:id="13" w:name="expectations"/>
    <w:p>
      <w:pPr>
        <w:pStyle w:val="Heading2"/>
      </w:pPr>
      <w:r>
        <w:t xml:space="preserve">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2026Q2 consensus</w:t>
            </w:r>
          </w:p>
        </w:tc>
        <w:tc>
          <w:tcPr/>
          <w:p>
            <w:pPr>
              <w:pStyle w:val="Compact"/>
              <w:jc w:val="right"/>
            </w:pPr>
            <w:r>
              <w:t xml:space="preserve">Comparison</w:t>
            </w:r>
          </w:p>
        </w:tc>
      </w:tr>
      <w:tr>
        <w:tc>
          <w:tcPr/>
          <w:p>
            <w:pPr>
              <w:pStyle w:val="Compact"/>
            </w:pPr>
            <w:r>
              <w:t xml:space="preserve">Revenue</w:t>
            </w:r>
          </w:p>
        </w:tc>
        <w:tc>
          <w:tcPr/>
          <w:p>
            <w:pPr>
              <w:pStyle w:val="Compact"/>
              <w:jc w:val="right"/>
            </w:pPr>
            <w:r>
              <w:rPr>
                <w:b/>
                <w:bCs/>
              </w:rPr>
              <w:t xml:space="preserve">$974.7 million</w:t>
            </w:r>
          </w:p>
        </w:tc>
        <w:tc>
          <w:tcPr/>
          <w:p>
            <w:pPr>
              <w:pStyle w:val="Compact"/>
              <w:jc w:val="right"/>
            </w:pPr>
            <w:r>
              <w:t xml:space="preserve">Down approximately</w:t>
            </w:r>
            <w:r>
              <w:t xml:space="preserve"> </w:t>
            </w:r>
            <w:r>
              <w:rPr>
                <w:b/>
                <w:bCs/>
              </w:rPr>
              <w:t xml:space="preserve">5.6%</w:t>
            </w:r>
            <w:r>
              <w:t xml:space="preserve"> </w:t>
            </w:r>
            <w:r>
              <w:t xml:space="preserve">from $1.03 billion in 2025Q2</w:t>
            </w:r>
          </w:p>
        </w:tc>
      </w:tr>
      <w:tr>
        <w:tc>
          <w:tcPr/>
          <w:p>
            <w:pPr>
              <w:pStyle w:val="Compact"/>
            </w:pPr>
            <w:r>
              <w:t xml:space="preserve">Adjusted EPS</w:t>
            </w:r>
          </w:p>
        </w:tc>
        <w:tc>
          <w:tcPr/>
          <w:p>
            <w:pPr>
              <w:pStyle w:val="Compact"/>
              <w:jc w:val="right"/>
            </w:pPr>
            <w:r>
              <w:rPr>
                <w:b/>
                <w:bCs/>
              </w:rPr>
              <w:t xml:space="preserve">$2.73</w:t>
            </w:r>
          </w:p>
        </w:tc>
        <w:tc>
          <w:tcPr/>
          <w:p>
            <w:pPr>
              <w:pStyle w:val="Compact"/>
              <w:jc w:val="right"/>
            </w:pPr>
            <w:r>
              <w:t xml:space="preserve">Up approximately</w:t>
            </w:r>
            <w:r>
              <w:t xml:space="preserve"> </w:t>
            </w:r>
            <w:r>
              <w:rPr>
                <w:b/>
                <w:bCs/>
              </w:rPr>
              <w:t xml:space="preserve">33% sequentially</w:t>
            </w:r>
            <w:r>
              <w:t xml:space="preserve">; down 12.5% year over year</w:t>
            </w:r>
          </w:p>
        </w:tc>
      </w:tr>
      <w:tr>
        <w:tc>
          <w:tcPr/>
          <w:p>
            <w:pPr>
              <w:pStyle w:val="Compact"/>
            </w:pPr>
            <w:r>
              <w:t xml:space="preserve">EBIT</w:t>
            </w:r>
          </w:p>
        </w:tc>
        <w:tc>
          <w:tcPr/>
          <w:p>
            <w:pPr>
              <w:pStyle w:val="Compact"/>
              <w:jc w:val="right"/>
            </w:pPr>
            <w:r>
              <w:rPr>
                <w:b/>
                <w:bCs/>
              </w:rPr>
              <w:t xml:space="preserve">$205.0 million</w:t>
            </w:r>
          </w:p>
        </w:tc>
        <w:tc>
          <w:tcPr/>
          <w:p>
            <w:pPr>
              <w:pStyle w:val="Compact"/>
              <w:jc w:val="right"/>
            </w:pPr>
            <w:r>
              <w:t xml:space="preserve">Implies an approximately</w:t>
            </w:r>
            <w:r>
              <w:t xml:space="preserve"> </w:t>
            </w:r>
            <w:r>
              <w:rPr>
                <w:b/>
                <w:bCs/>
              </w:rPr>
              <w:t xml:space="preserve">21% margin</w:t>
            </w:r>
          </w:p>
        </w:tc>
      </w:tr>
      <w:tr>
        <w:tc>
          <w:tcPr/>
          <w:p>
            <w:pPr>
              <w:pStyle w:val="Compact"/>
            </w:pPr>
            <w:r>
              <w:t xml:space="preserve">FY2026 revenue</w:t>
            </w:r>
          </w:p>
        </w:tc>
        <w:tc>
          <w:tcPr/>
          <w:p>
            <w:pPr>
              <w:pStyle w:val="Compact"/>
              <w:jc w:val="right"/>
            </w:pPr>
            <w:r>
              <w:rPr>
                <w:b/>
                <w:bCs/>
              </w:rPr>
              <w:t xml:space="preserve">$3.85 billion</w:t>
            </w:r>
          </w:p>
        </w:tc>
        <w:tc>
          <w:tcPr/>
          <w:p>
            <w:pPr>
              <w:pStyle w:val="Compact"/>
              <w:jc w:val="right"/>
            </w:pPr>
            <w:r>
              <w:t xml:space="preserve">Approximately 4.1% below 2025</w:t>
            </w:r>
          </w:p>
        </w:tc>
      </w:tr>
      <w:tr>
        <w:tc>
          <w:tcPr/>
          <w:p>
            <w:pPr>
              <w:pStyle w:val="Compact"/>
            </w:pPr>
            <w:r>
              <w:t xml:space="preserve">FY2026 adjusted EPS</w:t>
            </w:r>
          </w:p>
        </w:tc>
        <w:tc>
          <w:tcPr/>
          <w:p>
            <w:pPr>
              <w:pStyle w:val="Compact"/>
              <w:jc w:val="right"/>
            </w:pPr>
            <w:r>
              <w:rPr>
                <w:b/>
                <w:bCs/>
              </w:rPr>
              <w:t xml:space="preserve">$11.11</w:t>
            </w:r>
          </w:p>
        </w:tc>
        <w:tc>
          <w:tcPr/>
          <w:p>
            <w:pPr>
              <w:pStyle w:val="Compact"/>
              <w:jc w:val="right"/>
            </w:pPr>
            <w:r>
              <w:t xml:space="preserve">Near the upper half of company guidance</w:t>
            </w:r>
          </w:p>
        </w:tc>
      </w:tr>
    </w:tbl>
    <w:p>
      <w:pPr>
        <w:pStyle w:val="BodyText"/>
      </w:pPr>
      <w:r>
        <w:t xml:space="preserve">Consensus ranges are</w:t>
      </w:r>
      <w:r>
        <w:t xml:space="preserve"> </w:t>
      </w:r>
      <m:oMath>
        <m:r>
          <m:t>954.7</m:t>
        </m:r>
        <m:r>
          <m:t>m</m:t>
        </m:r>
        <m:r>
          <m:t>i</m:t>
        </m:r>
        <m:r>
          <m:t>l</m:t>
        </m:r>
        <m:r>
          <m:t>l</m:t>
        </m:r>
        <m:r>
          <m:t>i</m:t>
        </m:r>
        <m:r>
          <m:t>o</m:t>
        </m:r>
        <m:r>
          <m:t>n</m:t>
        </m:r>
        <m:r>
          <m:rPr>
            <m:sty m:val="p"/>
          </m:rPr>
          <m:t>–</m:t>
        </m:r>
      </m:oMath>
      <w:r>
        <w:t xml:space="preserve">1.02 billion for revenue and</w:t>
      </w:r>
      <w:r>
        <w:t xml:space="preserve"> </w:t>
      </w:r>
      <m:oMath>
        <m:r>
          <m:t>2.68</m:t>
        </m:r>
        <m:r>
          <m:rPr>
            <m:sty m:val="p"/>
          </m:rPr>
          <m:t>–</m:t>
        </m:r>
      </m:oMath>
      <w:r>
        <w:t xml:space="preserve">2.91 for adjusted EPS. (</w:t>
      </w:r>
      <w:hyperlink r:id="rId11">
        <w:r>
          <w:rPr>
            <w:rStyle w:val="Hyperlink"/>
          </w:rPr>
          <w:t xml:space="preserve">charlesriverlaboratories.gcs-web.com</w:t>
        </w:r>
      </w:hyperlink>
      <w:r>
        <w:t xml:space="preserve">)</w:t>
      </w:r>
    </w:p>
    <w:p>
      <w:pPr>
        <w:pStyle w:val="BodyText"/>
      </w:pPr>
      <w:r>
        <w:t xml:space="preserve">Management previously guided to:</w:t>
      </w:r>
    </w:p>
    <w:p>
      <w:pPr>
        <w:pStyle w:val="Compact"/>
        <w:numPr>
          <w:ilvl w:val="0"/>
          <w:numId w:val="1002"/>
        </w:numPr>
      </w:pPr>
      <w:r>
        <w:t xml:space="preserve">Q2 organic revenue declining at a</w:t>
      </w:r>
      <w:r>
        <w:t xml:space="preserve"> </w:t>
      </w:r>
      <w:r>
        <w:rPr>
          <w:b/>
          <w:bCs/>
        </w:rPr>
        <w:t xml:space="preserve">low-single-digit rate</w:t>
      </w:r>
    </w:p>
    <w:p>
      <w:pPr>
        <w:pStyle w:val="Compact"/>
        <w:numPr>
          <w:ilvl w:val="0"/>
          <w:numId w:val="1002"/>
        </w:numPr>
      </w:pPr>
      <w:r>
        <w:t xml:space="preserve">Reported revenue declining at a</w:t>
      </w:r>
      <w:r>
        <w:t xml:space="preserve"> </w:t>
      </w:r>
      <w:r>
        <w:rPr>
          <w:b/>
          <w:bCs/>
        </w:rPr>
        <w:t xml:space="preserve">mid- to high-single-digit rate</w:t>
      </w:r>
      <w:r>
        <w:t xml:space="preserve">, principally because of divestitures</w:t>
      </w:r>
    </w:p>
    <w:p>
      <w:pPr>
        <w:pStyle w:val="Compact"/>
        <w:numPr>
          <w:ilvl w:val="0"/>
          <w:numId w:val="1002"/>
        </w:numPr>
      </w:pPr>
      <w:r>
        <w:t xml:space="preserve">Adjusted EPS increasing</w:t>
      </w:r>
      <w:r>
        <w:t xml:space="preserve"> </w:t>
      </w:r>
      <w:r>
        <w:rPr>
          <w:b/>
          <w:bCs/>
        </w:rPr>
        <w:t xml:space="preserve">at least 30% sequentially</w:t>
      </w:r>
      <w:r>
        <w:t xml:space="preserve"> </w:t>
      </w:r>
      <w:r>
        <w:t xml:space="preserve">from Q1’s</w:t>
      </w:r>
      <w:r>
        <w:t xml:space="preserve"> </w:t>
      </w:r>
      <m:oMath>
        <m:r>
          <m:t>2.06</m:t>
        </m:r>
        <m:r>
          <m:rPr>
            <m:sty m:val="p"/>
          </m:rPr>
          <m:t>,</m:t>
        </m:r>
        <m:r>
          <m:t>i</m:t>
        </m:r>
        <m:r>
          <m:t>m</m:t>
        </m:r>
        <m:r>
          <m:t>p</m:t>
        </m:r>
        <m:r>
          <m:t>l</m:t>
        </m:r>
        <m:r>
          <m:t>y</m:t>
        </m:r>
        <m:r>
          <m:t>i</m:t>
        </m:r>
        <m:r>
          <m:t>n</m:t>
        </m:r>
        <m:r>
          <m:t>g</m:t>
        </m:r>
        <m:r>
          <m:t>a</m:t>
        </m:r>
        <m:r>
          <m:t>f</m:t>
        </m:r>
        <m:r>
          <m:t>l</m:t>
        </m:r>
        <m:r>
          <m:t>o</m:t>
        </m:r>
        <m:r>
          <m:t>o</m:t>
        </m:r>
        <m:r>
          <m:t>r</m:t>
        </m:r>
        <m:r>
          <m:t>o</m:t>
        </m:r>
        <m:r>
          <m:t>f</m:t>
        </m:r>
        <m:r>
          <m:t>a</m:t>
        </m:r>
        <m:r>
          <m:t>p</m:t>
        </m:r>
        <m:r>
          <m:t>p</m:t>
        </m:r>
        <m:r>
          <m:t>r</m:t>
        </m:r>
        <m:r>
          <m:t>o</m:t>
        </m:r>
        <m:r>
          <m:t>x</m:t>
        </m:r>
        <m:r>
          <m:t>i</m:t>
        </m:r>
        <m:r>
          <m:t>m</m:t>
        </m:r>
        <m:r>
          <m:t>a</m:t>
        </m:r>
        <m:r>
          <m:t>t</m:t>
        </m:r>
        <m:r>
          <m:t>e</m:t>
        </m:r>
        <m:r>
          <m:t>l</m:t>
        </m:r>
        <m:r>
          <m:t>y</m:t>
        </m:r>
        <m:r>
          <m:rPr>
            <m:sty m:val="p"/>
          </m:rPr>
          <m:t>*</m:t>
        </m:r>
        <m:r>
          <m:rPr>
            <m:sty m:val="p"/>
          </m:rPr>
          <m:t>*</m:t>
        </m:r>
      </m:oMath>
      <w:r>
        <w:t xml:space="preserve">2.68**</w:t>
      </w:r>
    </w:p>
    <w:p>
      <w:pPr>
        <w:pStyle w:val="Compact"/>
        <w:numPr>
          <w:ilvl w:val="0"/>
          <w:numId w:val="1002"/>
        </w:numPr>
      </w:pPr>
      <w:r>
        <w:t xml:space="preserve">FY2026 organic revenue declining</w:t>
      </w:r>
      <w:r>
        <w:t xml:space="preserve"> </w:t>
      </w:r>
      <w:r>
        <w:rPr>
          <w:b/>
          <w:bCs/>
        </w:rPr>
        <w:t xml:space="preserve">0.5%–1.5%</w:t>
      </w:r>
    </w:p>
    <w:p>
      <w:pPr>
        <w:pStyle w:val="Compact"/>
        <w:numPr>
          <w:ilvl w:val="0"/>
          <w:numId w:val="1002"/>
        </w:numPr>
      </w:pPr>
      <w:r>
        <w:t xml:space="preserve">FY2026 adjusted EPS of</w:t>
      </w:r>
      <w:r>
        <w:t xml:space="preserve"> </w:t>
      </w:r>
      <m:oMath>
        <m:r>
          <m:t>10.80</m:t>
        </m:r>
        <m:r>
          <m:rPr>
            <m:sty m:val="p"/>
          </m:rPr>
          <m:t>–</m:t>
        </m:r>
      </m:oMath>
      <w:r>
        <w:rPr>
          <w:b/>
          <w:bCs/>
        </w:rPr>
        <w:t xml:space="preserve">11.30</w:t>
      </w:r>
    </w:p>
    <w:p>
      <w:pPr>
        <w:pStyle w:val="Compact"/>
        <w:numPr>
          <w:ilvl w:val="0"/>
          <w:numId w:val="1002"/>
        </w:numPr>
      </w:pPr>
      <w:r>
        <w:t xml:space="preserve">FY2026 adjusted operating-margin expansion of</w:t>
      </w:r>
      <w:r>
        <w:t xml:space="preserve"> </w:t>
      </w:r>
      <w:r>
        <w:rPr>
          <w:b/>
          <w:bCs/>
        </w:rPr>
        <w:t xml:space="preserve">120–150 basis points</w:t>
      </w:r>
      <w:r>
        <w:t xml:space="preserve"> </w:t>
      </w:r>
      <w:r>
        <w:t xml:space="preserve">(</w:t>
      </w:r>
      <w:hyperlink r:id="rId12">
        <w:r>
          <w:rPr>
            <w:rStyle w:val="Hyperlink"/>
          </w:rPr>
          <w:t xml:space="preserve">ir.criver.com</w:t>
        </w:r>
      </w:hyperlink>
      <w:r>
        <w:t xml:space="preserve">)</w:t>
      </w:r>
    </w:p>
    <w:p>
      <w:pPr>
        <w:pStyle w:val="FirstParagraph"/>
      </w:pPr>
      <w:r>
        <w:t xml:space="preserve">Thus, the $2.73 EPS consensus is only modestly above management’s implied Q2 floor. The more demanding question is whether CRL remains on pace for a much stronger second half.</w:t>
      </w:r>
    </w:p>
    <w:bookmarkEnd w:id="13"/>
    <w:bookmarkStart w:id="14" w:name="the-central-issue-dsa-demand"/>
    <w:p>
      <w:pPr>
        <w:pStyle w:val="Heading2"/>
      </w:pPr>
      <w:r>
        <w:t xml:space="preserve">The central issue: DSA demand</w:t>
      </w:r>
    </w:p>
    <w:p>
      <w:pPr>
        <w:pStyle w:val="FirstParagraph"/>
      </w:pPr>
      <w:r>
        <w:t xml:space="preserve">DSA is CRL’s largest segment and the principal driver of the investment case. In Q1, DSA organic revenue declined 1.4%, while its adjusted margin fell to 21.0% because of higher large-model sourcing and study-start costs. (</w:t>
      </w:r>
      <w:hyperlink r:id="rId12">
        <w:r>
          <w:rPr>
            <w:rStyle w:val="Hyperlink"/>
          </w:rPr>
          <w:t xml:space="preserve">ir.criver.com</w:t>
        </w:r>
      </w:hyperlink>
      <w:r>
        <w:t xml:space="preserve">)</w:t>
      </w:r>
    </w:p>
    <w:p>
      <w:pPr>
        <w:pStyle w:val="BodyText"/>
      </w:pPr>
      <w:r>
        <w:t xml:space="preserve">The leading indicators were more constructive:</w:t>
      </w:r>
    </w:p>
    <w:p>
      <w:pPr>
        <w:pStyle w:val="Compact"/>
        <w:numPr>
          <w:ilvl w:val="0"/>
          <w:numId w:val="1003"/>
        </w:numPr>
      </w:pPr>
      <w:r>
        <w:t xml:space="preserve">Q1 net book-to-bill was</w:t>
      </w:r>
      <w:r>
        <w:t xml:space="preserve"> </w:t>
      </w:r>
      <w:r>
        <w:rPr>
          <w:b/>
          <w:bCs/>
        </w:rPr>
        <w:t xml:space="preserve">1.04x</w:t>
      </w:r>
    </w:p>
    <w:p>
      <w:pPr>
        <w:pStyle w:val="Compact"/>
        <w:numPr>
          <w:ilvl w:val="0"/>
          <w:numId w:val="1003"/>
        </w:numPr>
      </w:pPr>
      <w:r>
        <w:t xml:space="preserve">Net bookings were approximately</w:t>
      </w:r>
      <w:r>
        <w:t xml:space="preserve"> </w:t>
      </w:r>
      <w:r>
        <w:rPr>
          <w:b/>
          <w:bCs/>
        </w:rPr>
        <w:t xml:space="preserve">$622 million</w:t>
      </w:r>
    </w:p>
    <w:p>
      <w:pPr>
        <w:pStyle w:val="Compact"/>
        <w:numPr>
          <w:ilvl w:val="0"/>
          <w:numId w:val="1003"/>
        </w:numPr>
      </w:pPr>
      <w:r>
        <w:t xml:space="preserve">Backlog ended Q1 at approximately</w:t>
      </w:r>
      <w:r>
        <w:t xml:space="preserve"> </w:t>
      </w:r>
      <w:r>
        <w:rPr>
          <w:b/>
          <w:bCs/>
        </w:rPr>
        <w:t xml:space="preserve">$1.92 billion</w:t>
      </w:r>
    </w:p>
    <w:p>
      <w:pPr>
        <w:pStyle w:val="Compact"/>
        <w:numPr>
          <w:ilvl w:val="0"/>
          <w:numId w:val="1003"/>
        </w:numPr>
      </w:pPr>
      <w:r>
        <w:t xml:space="preserve">Biotech bookings over the preceding two quarters were the strongest in more than two years</w:t>
      </w:r>
    </w:p>
    <w:p>
      <w:pPr>
        <w:pStyle w:val="Compact"/>
        <w:numPr>
          <w:ilvl w:val="0"/>
          <w:numId w:val="1003"/>
        </w:numPr>
      </w:pPr>
      <w:r>
        <w:t xml:space="preserve">Proposal volume increased at a high-single-digit rate and had risen sequentially for three quarters</w:t>
      </w:r>
    </w:p>
    <w:p>
      <w:pPr>
        <w:pStyle w:val="FirstParagraph"/>
      </w:pPr>
      <w:r>
        <w:t xml:space="preserve">Management expected this momentum to return DSA to organic growth during the second half. The most important Q2 disclosures will therefore be:</w:t>
      </w:r>
    </w:p>
    <w:p>
      <w:pPr>
        <w:pStyle w:val="Compact"/>
        <w:numPr>
          <w:ilvl w:val="0"/>
          <w:numId w:val="1004"/>
        </w:numPr>
      </w:pPr>
      <w:r>
        <w:rPr>
          <w:b/>
          <w:bCs/>
        </w:rPr>
        <w:t xml:space="preserve">Net book-to-bill:</w:t>
      </w:r>
      <w:r>
        <w:t xml:space="preserve"> </w:t>
      </w:r>
      <w:r>
        <w:t xml:space="preserve">Remaining above 1.0x would support the recovery thesis.</w:t>
      </w:r>
    </w:p>
    <w:p>
      <w:pPr>
        <w:pStyle w:val="Compact"/>
        <w:numPr>
          <w:ilvl w:val="0"/>
          <w:numId w:val="1004"/>
        </w:numPr>
      </w:pPr>
      <w:r>
        <w:rPr>
          <w:b/>
          <w:bCs/>
        </w:rPr>
        <w:t xml:space="preserve">Backlog direction:</w:t>
      </w:r>
      <w:r>
        <w:t xml:space="preserve"> </w:t>
      </w:r>
      <w:r>
        <w:t xml:space="preserve">Sequential growth would reinforce revenue visibility.</w:t>
      </w:r>
    </w:p>
    <w:p>
      <w:pPr>
        <w:pStyle w:val="Compact"/>
        <w:numPr>
          <w:ilvl w:val="0"/>
          <w:numId w:val="1004"/>
        </w:numPr>
      </w:pPr>
      <w:r>
        <w:rPr>
          <w:b/>
          <w:bCs/>
        </w:rPr>
        <w:t xml:space="preserve">Biotech versus large-pharma demand:</w:t>
      </w:r>
      <w:r>
        <w:t xml:space="preserve"> </w:t>
      </w:r>
      <w:r>
        <w:t xml:space="preserve">Mid-sized and later-stage biotech had been improving, while very early-stage biotech remained weak.</w:t>
      </w:r>
    </w:p>
    <w:p>
      <w:pPr>
        <w:pStyle w:val="Compact"/>
        <w:numPr>
          <w:ilvl w:val="0"/>
          <w:numId w:val="1004"/>
        </w:numPr>
      </w:pPr>
      <w:r>
        <w:rPr>
          <w:b/>
          <w:bCs/>
        </w:rPr>
        <w:t xml:space="preserve">Proposal conversion:</w:t>
      </w:r>
      <w:r>
        <w:t xml:space="preserve"> </w:t>
      </w:r>
      <w:r>
        <w:t xml:space="preserve">Investors need evidence that improving proposals are becoming booked studies and revenue.</w:t>
      </w:r>
    </w:p>
    <w:p>
      <w:pPr>
        <w:pStyle w:val="Compact"/>
        <w:numPr>
          <w:ilvl w:val="0"/>
          <w:numId w:val="1004"/>
        </w:numPr>
      </w:pPr>
      <w:r>
        <w:rPr>
          <w:b/>
          <w:bCs/>
        </w:rPr>
        <w:t xml:space="preserve">Timing of DSA organic growth:</w:t>
      </w:r>
      <w:r>
        <w:t xml:space="preserve"> </w:t>
      </w:r>
      <w:r>
        <w:t xml:space="preserve">Any push from Q3/Q4 into 2027 would be a material disappointment.</w:t>
      </w:r>
    </w:p>
    <w:p>
      <w:pPr>
        <w:pStyle w:val="FirstParagraph"/>
      </w:pPr>
      <w:r>
        <w:t xml:space="preserve">A small quarterly revenue miss accompanied by strong bookings could be tolerated. An EPS beat accompanied by weaker bookings would be lower quality.</w:t>
      </w:r>
    </w:p>
    <w:bookmarkEnd w:id="14"/>
    <w:bookmarkStart w:id="18" w:name="margin-recovery-must-become-visible"/>
    <w:p>
      <w:pPr>
        <w:pStyle w:val="Heading2"/>
      </w:pPr>
      <w:r>
        <w:t xml:space="preserve">Margin recovery must become visible</w:t>
      </w:r>
    </w:p>
    <w:p>
      <w:pPr>
        <w:pStyle w:val="FirstParagraph"/>
      </w:pPr>
      <w:r>
        <w:t xml:space="preserve">Q1’s adjusted operating margin was only</w:t>
      </w:r>
      <w:r>
        <w:t xml:space="preserve"> </w:t>
      </w:r>
      <w:r>
        <w:rPr>
          <w:b/>
          <w:bCs/>
        </w:rPr>
        <w:t xml:space="preserve">16.3%</w:t>
      </w:r>
      <w:r>
        <w:t xml:space="preserve">, down from 19.1%, due to NHP-related DSA costs, unfavorable RMS mix and executive-transition compensation. CRL said these headwinds would subside in Q2 and that all three segments should improve sequentially. (</w:t>
      </w:r>
      <w:hyperlink r:id="rId12">
        <w:r>
          <w:rPr>
            <w:rStyle w:val="Hyperlink"/>
          </w:rPr>
          <w:t xml:space="preserve">ir.criver.com</w:t>
        </w:r>
      </w:hyperlink>
      <w:r>
        <w:t xml:space="preserve">)</w:t>
      </w:r>
    </w:p>
    <w:p>
      <w:pPr>
        <w:pStyle w:val="BodyText"/>
      </w:pPr>
      <w:r>
        <w:t xml:space="preserve">Consensus EBIT implies an adjusted margin of roughly</w:t>
      </w:r>
      <w:r>
        <w:t xml:space="preserve"> </w:t>
      </w:r>
      <w:r>
        <w:rPr>
          <w:b/>
          <w:bCs/>
        </w:rPr>
        <w:t xml:space="preserve">21%</w:t>
      </w:r>
      <w:r>
        <w:t xml:space="preserve">, or nearly 475 basis points above Q1. That is the clearest quantitative hurdle for the quarter.</w:t>
      </w:r>
    </w:p>
    <w:bookmarkStart w:id="15" w:name="dsa"/>
    <w:p>
      <w:pPr>
        <w:pStyle w:val="Heading3"/>
      </w:pPr>
      <w:r>
        <w:t xml:space="preserve">DSA</w:t>
      </w:r>
    </w:p>
    <w:p>
      <w:pPr>
        <w:pStyle w:val="FirstParagraph"/>
      </w:pPr>
      <w:r>
        <w:t xml:space="preserve">CRL should begin benefiting from lower study-start costs and greater internal sourcing of non-human primates following its K.F. Cambodia and Noveprim investments. The largest DSA improvement was previously expected later in the year, particularly Q4, so investors should not require full normalization in Q2. They should require a visible step in that direction.</w:t>
      </w:r>
    </w:p>
    <w:bookmarkEnd w:id="15"/>
    <w:bookmarkStart w:id="16" w:name="manufacturing-solutions"/>
    <w:p>
      <w:pPr>
        <w:pStyle w:val="Heading3"/>
      </w:pPr>
      <w:r>
        <w:t xml:space="preserve">Manufacturing Solutions</w:t>
      </w:r>
    </w:p>
    <w:p>
      <w:pPr>
        <w:pStyle w:val="FirstParagraph"/>
      </w:pPr>
      <w:r>
        <w:t xml:space="preserve">The May 6 divestiture of the lower-margin CDMO and Cell Solutions operations should materially improve the remaining segment’s mix. The continuing Microbial Solutions and Biologics Testing businesses have historically generated margins above 30%.</w:t>
      </w:r>
    </w:p>
    <w:p>
      <w:pPr>
        <w:pStyle w:val="BodyText"/>
      </w:pPr>
      <w:r>
        <w:t xml:space="preserve">A Manufacturing margin that remains materially below 30%, absent a clear timing explanation, would raise questions about the supposed structural benefit of the divestiture.</w:t>
      </w:r>
    </w:p>
    <w:bookmarkEnd w:id="16"/>
    <w:bookmarkStart w:id="17" w:name="rms"/>
    <w:p>
      <w:pPr>
        <w:pStyle w:val="Heading3"/>
      </w:pPr>
      <w:r>
        <w:t xml:space="preserve">RMS</w:t>
      </w:r>
    </w:p>
    <w:p>
      <w:pPr>
        <w:pStyle w:val="FirstParagraph"/>
      </w:pPr>
      <w:r>
        <w:t xml:space="preserve">RMS should benefit from a recovery in NHP shipment timing after Q1 weakness. Offsetting that are soft North American small-model demand, academic and government uncertainty, and weak demand from start-up biotech customers using CRL’s flexible-vivarium offering.</w:t>
      </w:r>
    </w:p>
    <w:p>
      <w:pPr>
        <w:pStyle w:val="BodyText"/>
      </w:pPr>
      <w:r>
        <w:t xml:space="preserve">The key question is whether Q1’s 5.5% organic decline represented a trough or continuing structural pressure.</w:t>
      </w:r>
    </w:p>
    <w:bookmarkEnd w:id="17"/>
    <w:bookmarkEnd w:id="18"/>
    <w:bookmarkStart w:id="19" w:name="Xa8c3fe1c9c93ad5754fd1cc834a00863e36df3f"/>
    <w:p>
      <w:pPr>
        <w:pStyle w:val="Heading2"/>
      </w:pPr>
      <w:r>
        <w:t xml:space="preserve">Portfolio changes complicate the headline numbers</w:t>
      </w:r>
    </w:p>
    <w:p>
      <w:pPr>
        <w:pStyle w:val="FirstParagraph"/>
      </w:pPr>
      <w:r>
        <w:t xml:space="preserve">CRL completed the CDMO and Cell Solutions sale on May 6 and the sale of certain European Discovery Services sites later in May. These transactions were expected to subtract roughly</w:t>
      </w:r>
      <w:r>
        <w:t xml:space="preserve"> </w:t>
      </w:r>
      <w:r>
        <w:rPr>
          <w:b/>
          <w:bCs/>
        </w:rPr>
        <w:t xml:space="preserve">five percentage points</w:t>
      </w:r>
      <w:r>
        <w:t xml:space="preserve"> </w:t>
      </w:r>
      <w:r>
        <w:t xml:space="preserve">from 2026 reported growth while improving margins and sharpening the company’s focus on regulated testing. (</w:t>
      </w:r>
      <w:hyperlink r:id="rId12">
        <w:r>
          <w:rPr>
            <w:rStyle w:val="Hyperlink"/>
          </w:rPr>
          <w:t xml:space="preserve">ir.criver.com</w:t>
        </w:r>
      </w:hyperlink>
      <w:r>
        <w:t xml:space="preserve">)</w:t>
      </w:r>
    </w:p>
    <w:p>
      <w:pPr>
        <w:pStyle w:val="BodyText"/>
      </w:pPr>
      <w:r>
        <w:t xml:space="preserve">Consequently:</w:t>
      </w:r>
    </w:p>
    <w:p>
      <w:pPr>
        <w:pStyle w:val="Compact"/>
        <w:numPr>
          <w:ilvl w:val="0"/>
          <w:numId w:val="1005"/>
        </w:numPr>
      </w:pPr>
      <w:r>
        <w:t xml:space="preserve">A reported revenue decline around consensus is not inherently bearish.</w:t>
      </w:r>
    </w:p>
    <w:p>
      <w:pPr>
        <w:pStyle w:val="Compact"/>
        <w:numPr>
          <w:ilvl w:val="0"/>
          <w:numId w:val="1005"/>
        </w:numPr>
      </w:pPr>
      <w:r>
        <w:t xml:space="preserve">Organic growth and pro forma segment trends matter more.</w:t>
      </w:r>
    </w:p>
    <w:p>
      <w:pPr>
        <w:pStyle w:val="Compact"/>
        <w:numPr>
          <w:ilvl w:val="0"/>
          <w:numId w:val="1005"/>
        </w:numPr>
      </w:pPr>
      <w:r>
        <w:t xml:space="preserve">Management should provide clean continuing-business comparisons.</w:t>
      </w:r>
    </w:p>
    <w:p>
      <w:pPr>
        <w:pStyle w:val="Compact"/>
        <w:numPr>
          <w:ilvl w:val="0"/>
          <w:numId w:val="1005"/>
        </w:numPr>
      </w:pPr>
      <w:r>
        <w:t xml:space="preserve">Investors should distinguish genuine operating leverage from the mechanical removal of low-margin revenue.</w:t>
      </w:r>
    </w:p>
    <w:p>
      <w:pPr>
        <w:pStyle w:val="FirstParagraph"/>
      </w:pPr>
      <w:r>
        <w:t xml:space="preserve">The strategic direction—simpler portfolio, higher margins and greater focus on regulated services—is sensible. Q2 is the first opportunity to see whether the financial benefits match the narrative.</w:t>
      </w:r>
    </w:p>
    <w:bookmarkEnd w:id="19"/>
    <w:bookmarkStart w:id="20" w:name="X6611e9b90fb260179eeb4875b02d2d9c62a0dd6"/>
    <w:p>
      <w:pPr>
        <w:pStyle w:val="Heading2"/>
      </w:pPr>
      <w:r>
        <w:t xml:space="preserve">Guidance may matter more than the quarter</w:t>
      </w:r>
    </w:p>
    <w:p>
      <w:pPr>
        <w:pStyle w:val="FirstParagraph"/>
      </w:pPr>
      <w:r>
        <w:t xml:space="preserve">The FY2026 adjusted EPS consensus of $11.11 sits above the $11.05 midpoint of company guidance. After Q1 actual EPS of $2.06 and Q2 consensus of</w:t>
      </w:r>
      <w:r>
        <w:t xml:space="preserve"> </w:t>
      </w:r>
      <m:oMath>
        <m:r>
          <m:t>2.73</m:t>
        </m:r>
        <m:r>
          <m:rPr>
            <m:sty m:val="p"/>
          </m:rPr>
          <m:t>,</m:t>
        </m:r>
        <m:r>
          <m:t>C</m:t>
        </m:r>
        <m:r>
          <m:t>R</m:t>
        </m:r>
        <m:r>
          <m:t>L</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6.26 combined in Q3 and Q4** merely to reach the guidance midpoint.</w:t>
      </w:r>
    </w:p>
    <w:p>
      <w:pPr>
        <w:pStyle w:val="BodyText"/>
      </w:pPr>
      <w:r>
        <w:t xml:space="preserve">That back-half requirement rests on:</w:t>
      </w:r>
    </w:p>
    <w:p>
      <w:pPr>
        <w:pStyle w:val="Compact"/>
        <w:numPr>
          <w:ilvl w:val="0"/>
          <w:numId w:val="1006"/>
        </w:numPr>
      </w:pPr>
      <w:r>
        <w:t xml:space="preserve">DSA returning to organic growth</w:t>
      </w:r>
    </w:p>
    <w:p>
      <w:pPr>
        <w:pStyle w:val="Compact"/>
        <w:numPr>
          <w:ilvl w:val="0"/>
          <w:numId w:val="1006"/>
        </w:numPr>
      </w:pPr>
      <w:r>
        <w:t xml:space="preserve">Lower internal NHP costs</w:t>
      </w:r>
    </w:p>
    <w:p>
      <w:pPr>
        <w:pStyle w:val="Compact"/>
        <w:numPr>
          <w:ilvl w:val="0"/>
          <w:numId w:val="1006"/>
        </w:numPr>
      </w:pPr>
      <w:r>
        <w:t xml:space="preserve">Divestiture-related mix improvement</w:t>
      </w:r>
    </w:p>
    <w:p>
      <w:pPr>
        <w:pStyle w:val="Compact"/>
        <w:numPr>
          <w:ilvl w:val="0"/>
          <w:numId w:val="1006"/>
        </w:numPr>
      </w:pPr>
      <w:r>
        <w:t xml:space="preserve">More than $100 million of incremental 2026 cost savings</w:t>
      </w:r>
    </w:p>
    <w:p>
      <w:pPr>
        <w:pStyle w:val="Compact"/>
        <w:numPr>
          <w:ilvl w:val="0"/>
          <w:numId w:val="1006"/>
        </w:numPr>
      </w:pPr>
      <w:r>
        <w:t xml:space="preserve">Lower executive-transition and other discrete expenses</w:t>
      </w:r>
    </w:p>
    <w:p>
      <w:pPr>
        <w:pStyle w:val="Compact"/>
        <w:numPr>
          <w:ilvl w:val="0"/>
          <w:numId w:val="1006"/>
        </w:numPr>
      </w:pPr>
      <w:r>
        <w:t xml:space="preserve">Continued share-count benefit from repurchases</w:t>
      </w:r>
    </w:p>
    <w:p>
      <w:pPr>
        <w:pStyle w:val="FirstParagraph"/>
      </w:pPr>
      <w:r>
        <w:t xml:space="preserve">A simple reaffirmation would be acceptable if bookings and margin trends improve. However, the strongest outcome would be a narrowing toward the upper half or a modest raise. A guidance cut—or less confidence in the expected 500-basis-point second-half versus first-half margin improvement—would undermine the central earnings thesis.</w:t>
      </w:r>
    </w:p>
    <w:bookmarkEnd w:id="20"/>
    <w:bookmarkStart w:id="21" w:name="cash-flow-and-capital-allocation"/>
    <w:p>
      <w:pPr>
        <w:pStyle w:val="Heading2"/>
      </w:pPr>
      <w:r>
        <w:t xml:space="preserve">Cash flow and capital allocation</w:t>
      </w:r>
    </w:p>
    <w:p>
      <w:pPr>
        <w:pStyle w:val="FirstParagraph"/>
      </w:pPr>
      <w:r>
        <w:t xml:space="preserve">CRL continues to guide to</w:t>
      </w:r>
      <w:r>
        <w:t xml:space="preserve"> </w:t>
      </w:r>
      <m:oMath>
        <m:r>
          <m:t>375</m:t>
        </m:r>
        <m:r>
          <m:t>m</m:t>
        </m:r>
        <m:r>
          <m:t>i</m:t>
        </m:r>
        <m:r>
          <m:t>l</m:t>
        </m:r>
        <m:r>
          <m:t>l</m:t>
        </m:r>
        <m:r>
          <m:t>i</m:t>
        </m:r>
        <m:r>
          <m:t>o</m:t>
        </m:r>
        <m:r>
          <m:t>n</m:t>
        </m:r>
        <m:r>
          <m:rPr>
            <m:sty m:val="p"/>
          </m:rPr>
          <m:t>–</m:t>
        </m:r>
      </m:oMath>
      <w:r>
        <w:rPr>
          <w:b/>
          <w:bCs/>
        </w:rPr>
        <w:t xml:space="preserve">400 million of 2026 free cash flow</w:t>
      </w:r>
      <w:r>
        <w:t xml:space="preserve">. It repurchased $200 million of shares in Q1 and had $800 million remaining on its authorization, but net leverage was 2.6x after acquisitions and buybacks. (</w:t>
      </w:r>
      <w:hyperlink r:id="rId12">
        <w:r>
          <w:rPr>
            <w:rStyle w:val="Hyperlink"/>
          </w:rPr>
          <w:t xml:space="preserve">ir.criver.com</w:t>
        </w:r>
      </w:hyperlink>
      <w:r>
        <w:t xml:space="preserve">)</w:t>
      </w:r>
    </w:p>
    <w:p>
      <w:pPr>
        <w:pStyle w:val="BodyText"/>
      </w:pPr>
      <w:r>
        <w:t xml:space="preserve">Investors should listen for:</w:t>
      </w:r>
    </w:p>
    <w:p>
      <w:pPr>
        <w:pStyle w:val="Compact"/>
        <w:numPr>
          <w:ilvl w:val="0"/>
          <w:numId w:val="1007"/>
        </w:numPr>
      </w:pPr>
      <w:r>
        <w:t xml:space="preserve">Current net leverage and debt-repayment priorities</w:t>
      </w:r>
    </w:p>
    <w:p>
      <w:pPr>
        <w:pStyle w:val="Compact"/>
        <w:numPr>
          <w:ilvl w:val="0"/>
          <w:numId w:val="1007"/>
        </w:numPr>
      </w:pPr>
      <w:r>
        <w:t xml:space="preserve">Whether additional repurchases remain attractive after the stock’s rebound</w:t>
      </w:r>
    </w:p>
    <w:p>
      <w:pPr>
        <w:pStyle w:val="Compact"/>
        <w:numPr>
          <w:ilvl w:val="0"/>
          <w:numId w:val="1007"/>
        </w:numPr>
      </w:pPr>
      <w:r>
        <w:t xml:space="preserve">Integration spending for K.F. Cambodia and PathoQuest</w:t>
      </w:r>
    </w:p>
    <w:p>
      <w:pPr>
        <w:pStyle w:val="Compact"/>
        <w:numPr>
          <w:ilvl w:val="0"/>
          <w:numId w:val="1007"/>
        </w:numPr>
      </w:pPr>
      <w:r>
        <w:t xml:space="preserve">Any additional divestiture or acquisition plans</w:t>
      </w:r>
    </w:p>
    <w:p>
      <w:pPr>
        <w:pStyle w:val="Compact"/>
        <w:numPr>
          <w:ilvl w:val="0"/>
          <w:numId w:val="1007"/>
        </w:numPr>
      </w:pPr>
      <w:r>
        <w:t xml:space="preserve">A bridge from adjusted earnings to free cash flow</w:t>
      </w:r>
    </w:p>
    <w:p>
      <w:pPr>
        <w:pStyle w:val="FirstParagraph"/>
      </w:pPr>
      <w:r>
        <w:t xml:space="preserve">Debt reduction would probably be the more prudent near-term use of cash unless the stock becomes materially cheaper.</w:t>
      </w:r>
    </w:p>
    <w:bookmarkEnd w:id="21"/>
    <w:bookmarkStart w:id="25" w:name="potential-stock-reaction-framework"/>
    <w:p>
      <w:pPr>
        <w:pStyle w:val="Heading2"/>
      </w:pPr>
      <w:r>
        <w:t xml:space="preserve">Potential stock-reaction framework</w:t>
      </w:r>
    </w:p>
    <w:bookmarkStart w:id="22" w:name="bullish"/>
    <w:p>
      <w:pPr>
        <w:pStyle w:val="Heading3"/>
      </w:pPr>
      <w:r>
        <w:t xml:space="preserve">Bullish</w:t>
      </w:r>
    </w:p>
    <w:p>
      <w:pPr>
        <w:pStyle w:val="Compact"/>
        <w:numPr>
          <w:ilvl w:val="0"/>
          <w:numId w:val="1008"/>
        </w:numPr>
      </w:pPr>
      <w:r>
        <w:t xml:space="preserve">Revenue at or above roughly $975 million</w:t>
      </w:r>
    </w:p>
    <w:p>
      <w:pPr>
        <w:pStyle w:val="Compact"/>
        <w:numPr>
          <w:ilvl w:val="0"/>
          <w:numId w:val="1008"/>
        </w:numPr>
      </w:pPr>
      <w:r>
        <w:t xml:space="preserve">Adjusted EPS above approximately $2.75</w:t>
      </w:r>
    </w:p>
    <w:p>
      <w:pPr>
        <w:pStyle w:val="Compact"/>
        <w:numPr>
          <w:ilvl w:val="0"/>
          <w:numId w:val="1008"/>
        </w:numPr>
      </w:pPr>
      <w:r>
        <w:t xml:space="preserve">DSA book-to-bill comfortably above 1.0x</w:t>
      </w:r>
    </w:p>
    <w:p>
      <w:pPr>
        <w:pStyle w:val="Compact"/>
        <w:numPr>
          <w:ilvl w:val="0"/>
          <w:numId w:val="1008"/>
        </w:numPr>
      </w:pPr>
      <w:r>
        <w:t xml:space="preserve">Sequential backlog growth</w:t>
      </w:r>
    </w:p>
    <w:p>
      <w:pPr>
        <w:pStyle w:val="Compact"/>
        <w:numPr>
          <w:ilvl w:val="0"/>
          <w:numId w:val="1008"/>
        </w:numPr>
      </w:pPr>
      <w:r>
        <w:t xml:space="preserve">Clear DSA and RMS margin recovery</w:t>
      </w:r>
    </w:p>
    <w:p>
      <w:pPr>
        <w:pStyle w:val="Compact"/>
        <w:numPr>
          <w:ilvl w:val="0"/>
          <w:numId w:val="1008"/>
        </w:numPr>
      </w:pPr>
      <w:r>
        <w:t xml:space="preserve">Manufacturing margin moving above 30%</w:t>
      </w:r>
    </w:p>
    <w:p>
      <w:pPr>
        <w:pStyle w:val="Compact"/>
        <w:numPr>
          <w:ilvl w:val="0"/>
          <w:numId w:val="1008"/>
        </w:numPr>
      </w:pPr>
      <w:r>
        <w:t xml:space="preserve">FY2026 guidance maintained with an upward bias or raised</w:t>
      </w:r>
    </w:p>
    <w:bookmarkEnd w:id="22"/>
    <w:bookmarkStart w:id="23" w:name="neutral"/>
    <w:p>
      <w:pPr>
        <w:pStyle w:val="Heading3"/>
      </w:pPr>
      <w:r>
        <w:t xml:space="preserve">Neutral</w:t>
      </w:r>
    </w:p>
    <w:p>
      <w:pPr>
        <w:pStyle w:val="Compact"/>
        <w:numPr>
          <w:ilvl w:val="0"/>
          <w:numId w:val="1009"/>
        </w:numPr>
      </w:pPr>
      <w:r>
        <w:t xml:space="preserve">Revenue and EPS near consensus</w:t>
      </w:r>
    </w:p>
    <w:p>
      <w:pPr>
        <w:pStyle w:val="Compact"/>
        <w:numPr>
          <w:ilvl w:val="0"/>
          <w:numId w:val="1009"/>
        </w:numPr>
      </w:pPr>
      <w:r>
        <w:t xml:space="preserve">Organic revenue still down low single digits</w:t>
      </w:r>
    </w:p>
    <w:p>
      <w:pPr>
        <w:pStyle w:val="Compact"/>
        <w:numPr>
          <w:ilvl w:val="0"/>
          <w:numId w:val="1009"/>
        </w:numPr>
      </w:pPr>
      <w:r>
        <w:t xml:space="preserve">Book-to-bill around 1.0x</w:t>
      </w:r>
    </w:p>
    <w:p>
      <w:pPr>
        <w:pStyle w:val="Compact"/>
        <w:numPr>
          <w:ilvl w:val="0"/>
          <w:numId w:val="1009"/>
        </w:numPr>
      </w:pPr>
      <w:r>
        <w:t xml:space="preserve">Guidance reaffirmed</w:t>
      </w:r>
    </w:p>
    <w:p>
      <w:pPr>
        <w:pStyle w:val="Compact"/>
        <w:numPr>
          <w:ilvl w:val="0"/>
          <w:numId w:val="1009"/>
        </w:numPr>
      </w:pPr>
      <w:r>
        <w:t xml:space="preserve">Management remains confident but offers no incremental evidence beyond the existing second-half plan</w:t>
      </w:r>
    </w:p>
    <w:bookmarkEnd w:id="23"/>
    <w:bookmarkStart w:id="24" w:name="bearish"/>
    <w:p>
      <w:pPr>
        <w:pStyle w:val="Heading3"/>
      </w:pPr>
      <w:r>
        <w:t xml:space="preserve">Bearish</w:t>
      </w:r>
    </w:p>
    <w:p>
      <w:pPr>
        <w:pStyle w:val="Compact"/>
        <w:numPr>
          <w:ilvl w:val="0"/>
          <w:numId w:val="1010"/>
        </w:numPr>
      </w:pPr>
      <w:r>
        <w:t xml:space="preserve">DSA book-to-bill below 1.0x or backlog declines</w:t>
      </w:r>
    </w:p>
    <w:p>
      <w:pPr>
        <w:pStyle w:val="Compact"/>
        <w:numPr>
          <w:ilvl w:val="0"/>
          <w:numId w:val="1010"/>
        </w:numPr>
      </w:pPr>
      <w:r>
        <w:t xml:space="preserve">DSA organic growth is delayed into 2027</w:t>
      </w:r>
    </w:p>
    <w:p>
      <w:pPr>
        <w:pStyle w:val="Compact"/>
        <w:numPr>
          <w:ilvl w:val="0"/>
          <w:numId w:val="1010"/>
        </w:numPr>
      </w:pPr>
      <w:r>
        <w:t xml:space="preserve">Q2 adjusted margin falls materially short of approximately 21%</w:t>
      </w:r>
    </w:p>
    <w:p>
      <w:pPr>
        <w:pStyle w:val="Compact"/>
        <w:numPr>
          <w:ilvl w:val="0"/>
          <w:numId w:val="1010"/>
        </w:numPr>
      </w:pPr>
      <w:r>
        <w:t xml:space="preserve">Manufacturing’s post-divestiture margin uplift disappoints</w:t>
      </w:r>
    </w:p>
    <w:p>
      <w:pPr>
        <w:pStyle w:val="Compact"/>
        <w:numPr>
          <w:ilvl w:val="0"/>
          <w:numId w:val="1010"/>
        </w:numPr>
      </w:pPr>
      <w:r>
        <w:t xml:space="preserve">RMS weakness broadens beyond shipment timing</w:t>
      </w:r>
    </w:p>
    <w:p>
      <w:pPr>
        <w:pStyle w:val="Compact"/>
        <w:numPr>
          <w:ilvl w:val="0"/>
          <w:numId w:val="1010"/>
        </w:numPr>
      </w:pPr>
      <w:r>
        <w:t xml:space="preserve">FY2026 EPS or margin guidance is reduced</w:t>
      </w:r>
    </w:p>
    <w:bookmarkEnd w:id="24"/>
    <w:bookmarkEnd w:id="25"/>
    <w:bookmarkStart w:id="26" w:name="questions-management-should-answer"/>
    <w:p>
      <w:pPr>
        <w:pStyle w:val="Heading2"/>
      </w:pPr>
      <w:r>
        <w:t xml:space="preserve">Questions management should answer</w:t>
      </w:r>
    </w:p>
    <w:p>
      <w:pPr>
        <w:pStyle w:val="Compact"/>
        <w:numPr>
          <w:ilvl w:val="0"/>
          <w:numId w:val="1011"/>
        </w:numPr>
      </w:pPr>
      <w:r>
        <w:t xml:space="preserve">What were Q2 DSA bookings, book-to-bill and backlog?</w:t>
      </w:r>
    </w:p>
    <w:p>
      <w:pPr>
        <w:pStyle w:val="Compact"/>
        <w:numPr>
          <w:ilvl w:val="0"/>
          <w:numId w:val="1011"/>
        </w:numPr>
      </w:pPr>
      <w:r>
        <w:t xml:space="preserve">Is DSA still expected to return to organic growth in Q3?</w:t>
      </w:r>
    </w:p>
    <w:p>
      <w:pPr>
        <w:pStyle w:val="Compact"/>
        <w:numPr>
          <w:ilvl w:val="0"/>
          <w:numId w:val="1011"/>
        </w:numPr>
      </w:pPr>
      <w:r>
        <w:t xml:space="preserve">How much of the Q2 margin improvement was structural versus timing-related?</w:t>
      </w:r>
    </w:p>
    <w:p>
      <w:pPr>
        <w:pStyle w:val="Compact"/>
        <w:numPr>
          <w:ilvl w:val="0"/>
          <w:numId w:val="1011"/>
        </w:numPr>
      </w:pPr>
      <w:r>
        <w:t xml:space="preserve">When should DSA fully realize the benefit of internally sourced NHPs?</w:t>
      </w:r>
    </w:p>
    <w:p>
      <w:pPr>
        <w:pStyle w:val="Compact"/>
        <w:numPr>
          <w:ilvl w:val="0"/>
          <w:numId w:val="1011"/>
        </w:numPr>
      </w:pPr>
      <w:r>
        <w:t xml:space="preserve">What is the clean post-divestiture Manufacturing margin?</w:t>
      </w:r>
    </w:p>
    <w:p>
      <w:pPr>
        <w:pStyle w:val="Compact"/>
        <w:numPr>
          <w:ilvl w:val="0"/>
          <w:numId w:val="1011"/>
        </w:numPr>
      </w:pPr>
      <w:r>
        <w:t xml:space="preserve">Are North American RMS volumes stabilizing?</w:t>
      </w:r>
    </w:p>
    <w:p>
      <w:pPr>
        <w:pStyle w:val="Compact"/>
        <w:numPr>
          <w:ilvl w:val="0"/>
          <w:numId w:val="1011"/>
        </w:numPr>
      </w:pPr>
      <w:r>
        <w:t xml:space="preserve">How much of the $100 million-plus 2026 savings is durable when revenue returns to growth?</w:t>
      </w:r>
    </w:p>
    <w:p>
      <w:pPr>
        <w:pStyle w:val="Compact"/>
        <w:numPr>
          <w:ilvl w:val="0"/>
          <w:numId w:val="1011"/>
        </w:numPr>
      </w:pPr>
      <w:r>
        <w:t xml:space="preserve">Does management still expect second-half margins to exceed first-half margins by more than 500 basis points?</w:t>
      </w:r>
    </w:p>
    <w:p>
      <w:pPr>
        <w:pStyle w:val="Compact"/>
        <w:numPr>
          <w:ilvl w:val="0"/>
          <w:numId w:val="1011"/>
        </w:numPr>
      </w:pPr>
      <w:r>
        <w:t xml:space="preserve">After acquisitions and repurchases, is debt repayment now the primary capital-allocation priority?</w:t>
      </w:r>
    </w:p>
    <w:p>
      <w:pPr>
        <w:pStyle w:val="Compact"/>
        <w:numPr>
          <w:ilvl w:val="0"/>
          <w:numId w:val="1011"/>
        </w:numPr>
      </w:pPr>
      <w:r>
        <w:t xml:space="preserve">What financial targets should investors expect at the September Investor Day?</w:t>
      </w:r>
    </w:p>
    <w:bookmarkEnd w:id="26"/>
    <w:bookmarkStart w:id="27" w:name="bottom-line"/>
    <w:p>
      <w:pPr>
        <w:pStyle w:val="Heading2"/>
      </w:pPr>
      <w:r>
        <w:t xml:space="preserve">Bottom line</w:t>
      </w:r>
    </w:p>
    <w:p>
      <w:pPr>
        <w:pStyle w:val="FirstParagraph"/>
      </w:pPr>
      <w:r>
        <w:rPr>
          <w:b/>
          <w:bCs/>
        </w:rPr>
        <w:t xml:space="preserve">The headline EPS hurdle is relatively manageable; the bookings and margin hurdles are not.</w:t>
      </w:r>
      <w:r>
        <w:t xml:space="preserve"> </w:t>
      </w:r>
      <w:r>
        <w:t xml:space="preserve">Q2 consensus already reflects management’s promised sequential EPS recovery, while the current valuation assumes the portfolio restructuring will produce materially better second-half earnings.</w:t>
      </w:r>
    </w:p>
    <w:p>
      <w:pPr>
        <w:pStyle w:val="BodyText"/>
      </w:pPr>
      <w:r>
        <w:t xml:space="preserve">The best evidence supporting that thesis would be</w:t>
      </w:r>
      <w:r>
        <w:t xml:space="preserve"> </w:t>
      </w:r>
      <w:r>
        <w:rPr>
          <w:b/>
          <w:bCs/>
        </w:rPr>
        <w:t xml:space="preserve">DSA book-to-bill above 1.0x, sequential margin improvement across all three segments and unwavering confidence in the second-half ramp</w:t>
      </w:r>
      <w:r>
        <w:t xml:space="preserve">. Without those elements, even an EPS beat could prove insufficient.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charlesriverlaboratories.gcs-web.com/analyst-information/earnings-estimates/" TargetMode="External" /><Relationship Type="http://schemas.openxmlformats.org/officeDocument/2006/relationships/hyperlink" Id="rId9" Target="https://ir.criver.com/news-releases/news-release-details/charles-river-laboratories-schedules-second-quarter-2026?utm_source=openai" TargetMode="External" /><Relationship Type="http://schemas.openxmlformats.org/officeDocument/2006/relationships/hyperlink" Id="rId12" Target="https://ir.criver.com/static-files/774c2366-6056-436c-ad4c-d85459431ffd" TargetMode="External" /></Relationships>
</file>

<file path=word/_rels/footnotes.xml.rels><?xml version="1.0" encoding="UTF-8"?><Relationships xmlns="http://schemas.openxmlformats.org/package/2006/relationships"><Relationship Type="http://schemas.openxmlformats.org/officeDocument/2006/relationships/hyperlink" Id="rId11" Target="https://charlesriverlaboratories.gcs-web.com/analyst-information/earnings-estimates/" TargetMode="External" /><Relationship Type="http://schemas.openxmlformats.org/officeDocument/2006/relationships/hyperlink" Id="rId9" Target="https://ir.criver.com/news-releases/news-release-details/charles-river-laboratories-schedules-second-quarter-2026?utm_source=openai" TargetMode="External" /><Relationship Type="http://schemas.openxmlformats.org/officeDocument/2006/relationships/hyperlink" Id="rId12" Target="https://ir.criver.com/static-files/774c2366-6056-436c-ad4c-d85459431ff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2026-08-05T00:27:49Z</dcterms:created>
  <dcterms:modified xsi:type="dcterms:W3CDTF">2026-08-05T00:27:49Z</dcterms:modified>
</cp:coreProperties>
</file>

<file path=docProps/custom.xml><?xml version="1.0" encoding="utf-8"?>
<Properties xmlns="http://schemas.openxmlformats.org/officeDocument/2006/custom-properties" xmlns:vt="http://schemas.openxmlformats.org/officeDocument/2006/docPropsVTypes"/>
</file>