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~$2.72 vs. cons $2.78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~-1.8% vs. cons -0.7%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net 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~0.97x vs. cons 1.02x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~$10.85 vs. cons $11.05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~-1.5% vs. cons -0.8%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operating-margin expansion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~120 bps vs. cons 135 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-10.5% (FOLLOW-THROUGH)</w:t>
            </w:r>
          </w:p>
        </w:tc>
        <w:tc>
          <w:tcPr/>
          <w:p>
            <w:pPr>
              <w:pStyle w:val="Compact"/>
            </w:pPr>
            <w:r>
              <w:t xml:space="preserve">A ~-1.1-point organic-growth shortfall versus consensus and a ~$0.20 FY26 EPS-guide gap imply that the assumed 2H revenue/margin acceleration shifts later, pulling 2026 and 2027 estimates lower even after investors credit the portfolio-margin actions.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2026-08-05T00:26:54Z</dcterms:created>
  <dcterms:modified xsi:type="dcterms:W3CDTF">2026-08-05T00:26:54Z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