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s-earnings-predictions--2026-08-05"/>
    <w:p>
      <w:pPr>
        <w:pStyle w:val="Heading1"/>
      </w:pPr>
      <w:r>
        <w:t xml:space="preserve">CVS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+9.8%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+3.2% (FADE)</w:t>
            </w:r>
          </w:p>
        </w:tc>
        <w:tc>
          <w:tcPr/>
          <w:p>
            <w:pPr>
              <w:pStyle w:val="Compact"/>
            </w:pPr>
            <w:r>
              <w:t xml:space="preserve">Beat-and-raise is largely priced (CVS +30% YTD, off its ~5% from July $110 peak into print). Positive day-1 pop on clean adj-EPS/MBR beat plus a guidance raise-to-high-end/modest lift. But the 60/40 front-loaded shape means the H2 implied run-rate stays soft — a modest raise mathematically trims out-quarter estimates, and any 'low-quality' PYD-driven beat plus a stretched multiple caps follow-through, so early gains partially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2026-08-05T00:23:13Z</dcterms:created>
  <dcterms:modified xsi:type="dcterms:W3CDTF">2026-08-05T00:23:13Z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