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CVS ahead of their earnings. Let me gather recent filings, transcripts, and news.Let me read the most recent earnings materials and get more detailed news.Let me get the year-ago Q2 2025 results (the comparison base) and recent stock price/news context.Let me check recent analyst sentiment and consensus estimates.I have what I need. Let me compile the preview.# CVS Health (CVS) — Q2 2026 Earnings Preview</w:t>
      </w:r>
    </w:p>
    <w:bookmarkStart w:id="9" w:name="X89971df791579d694ddaf8bc6332a8f13616209"/>
    <w:p>
      <w:pPr>
        <w:pStyle w:val="Heading3"/>
      </w:pPr>
      <w:r>
        <w:t xml:space="preserve">Reports Wednesday, August 5, 2026 (before market open) | 8:00 a.m. ET call</w:t>
      </w:r>
    </w:p>
    <w:p>
      <w:r>
        <w:pict>
          <v:rect style="width:0;height:1.5pt" o:hralign="center" o:hrstd="t" o:hr="t"/>
        </w:pict>
      </w:r>
    </w:p>
    <w:bookmarkEnd w:id="9"/>
    <w:bookmarkStart w:id="10" w:name="Xecadc320392c915bd601215684923f04d19314a"/>
    <w:p>
      <w:pPr>
        <w:pStyle w:val="Heading2"/>
      </w:pPr>
      <w:r>
        <w:t xml:space="preserve">The Setup: A Turnaround That's Now Priced for Success</w:t>
      </w:r>
    </w:p>
    <w:p>
      <w:pPr>
        <w:pStyle w:val="FirstParagraph"/>
      </w:pPr>
      <w:r>
        <w:t xml:space="preserve">The single most important thing to understand going into this print is how much the narrative — and the stock — have already moved. CVS shares have re-rated dramatically in 2026, climbing roughly</w:t>
      </w:r>
      <w:r>
        <w:t xml:space="preserve"> </w:t>
      </w:r>
      <w:r>
        <w:rPr>
          <w:b/>
          <w:bCs/>
        </w:rPr>
        <w:t xml:space="preserve">+30% year-to-date</w:t>
      </w:r>
      <w:r>
        <w:t xml:space="preserve"> </w:t>
      </w:r>
      <w:r>
        <w:t xml:space="preserve">(from ~</w:t>
      </w:r>
      <m:oMath>
        <m:r>
          <m:t>80</m:t>
        </m:r>
        <m:r>
          <m:t>i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J</m:t>
        </m:r>
        <m:r>
          <m:t>a</m:t>
        </m:r>
        <m:r>
          <m:t>n</m:t>
        </m:r>
        <m:r>
          <m:t>u</m:t>
        </m:r>
        <m:r>
          <m:t>a</m:t>
        </m:r>
        <m:r>
          <m:t>r</m:t>
        </m:r>
        <m:r>
          <m:t>y</m:t>
        </m:r>
        <m:r>
          <m:t>t</m:t>
        </m:r>
        <m:r>
          <m:t>o</m:t>
        </m:r>
        <m:r>
          <m:t> </m:t>
        </m:r>
      </m:oMath>
      <w:r>
        <w:t xml:space="preserve">104–105 heading into the report), with the bulk of the move coming after the strong Q1 print on May 6, when the stock jumped from ~</w:t>
      </w:r>
      <m:oMath>
        <m:r>
          <m:t>81</m:t>
        </m:r>
        <m:r>
          <m:t>t</m:t>
        </m:r>
        <m:r>
          <m:t>o</m:t>
        </m:r>
        <m:r>
          <m:t> </m:t>
        </m:r>
      </m:oMath>
      <w:r>
        <w:t xml:space="preserve">87 and never looked back. Sentiment, per the latest news digest, has shifted strongly positive as management turnaround initiatives take hold, particularly in the managed care/Aetna business where price increases and the shedding of unprofitable plans are expected to improve the medical cost ratio.</w:t>
      </w:r>
    </w:p>
    <w:p>
      <w:pPr>
        <w:pStyle w:val="BodyText"/>
      </w:pPr>
      <w:r>
        <w:t xml:space="preserve">The implication: the "cheap, broken, restructuring story" has become a "working turnaround" story. Expectations are no longer washed out. That raises the bar for Q2 — good results may be needed just to hold the stock, and the debate shifts from "can they stabilize?" to "how durable is the recovery and how much upside is left?"</w:t>
      </w:r>
    </w:p>
    <w:p>
      <w:r>
        <w:pict>
          <v:rect style="width:0;height:1.5pt" o:hralign="center" o:hrstd="t" o:hr="t"/>
        </w:pict>
      </w:r>
    </w:p>
    <w:bookmarkEnd w:id="10"/>
    <w:bookmarkStart w:id="11" w:name="Xd0cf86efe7e4031cad786a8766af373141d5a48"/>
    <w:p>
      <w:pPr>
        <w:pStyle w:val="Heading2"/>
      </w:pPr>
      <w:r>
        <w:t xml:space="preserve">What Happened Last Quarter (the jumping-off point)</w:t>
      </w:r>
    </w:p>
    <w:p>
      <w:pPr>
        <w:pStyle w:val="FirstParagraph"/>
      </w:pPr>
      <w:r>
        <w:t xml:space="preserve">Q1 2026 was a clear beat-and-raise: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EPS of $2.57</w:t>
      </w:r>
      <w:r>
        <w:t xml:space="preserve"> </w:t>
      </w:r>
      <w:r>
        <w:t xml:space="preserve">(up 14% YoY),</w:t>
      </w:r>
      <w:r>
        <w:t xml:space="preserve"> </w:t>
      </w:r>
      <w:r>
        <w:rPr>
          <w:b/>
          <w:bCs/>
        </w:rPr>
        <w:t xml:space="preserve">adjusted operating income of</w:t>
      </w:r>
      <w:r>
        <w:rPr>
          <w:b/>
          <w:bCs/>
        </w:rPr>
        <w:t xml:space="preserve"> </w:t>
      </w:r>
      <m:oMath>
        <m:r>
          <m:t>5.15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12.5</m:t>
        </m:r>
      </m:oMath>
      <w:r>
        <w:rPr>
          <w:b/>
          <w:bCs/>
        </w:rPr>
        <w:t xml:space="preserve">100.4B revenue</w:t>
      </w:r>
      <w:r>
        <w:t xml:space="preserve"> </w:t>
      </w:r>
      <w:r>
        <w:t xml:space="preserve">(+6.2%).</w:t>
      </w:r>
    </w:p>
    <w:p>
      <w:pPr>
        <w:pStyle w:val="Compact"/>
        <w:numPr>
          <w:ilvl w:val="0"/>
          <w:numId w:val="1001"/>
        </w:numPr>
      </w:pPr>
      <w:r>
        <w:t xml:space="preserve">Management</w:t>
      </w:r>
      <w:r>
        <w:t xml:space="preserve"> </w:t>
      </w:r>
      <w:r>
        <w:rPr>
          <w:b/>
          <w:bCs/>
        </w:rPr>
        <w:t xml:space="preserve">raised full-year 2026 adjusted EPS guidance to</w:t>
      </w:r>
      <w:r>
        <w:rPr>
          <w:b/>
          <w:bCs/>
        </w:rPr>
        <w:t xml:space="preserve"> </w:t>
      </w:r>
      <m:oMath>
        <m:r>
          <m:t>7.30</m:t>
        </m:r>
        <m:r>
          <m:rPr>
            <m:sty m:val="p"/>
          </m:rPr>
          <m:t>–</m:t>
        </m:r>
      </m:oMath>
      <w:r>
        <w:rPr>
          <w:b/>
          <w:bCs/>
        </w:rPr>
        <w:t xml:space="preserve">7.50</w:t>
      </w:r>
      <w:r>
        <w:t xml:space="preserve"> </w:t>
      </w:r>
      <w:r>
        <w:t xml:space="preserve">(from</w:t>
      </w:r>
      <w:r>
        <w:t xml:space="preserve"> </w:t>
      </w:r>
      <m:oMath>
        <m:r>
          <m:t>7.00</m:t>
        </m:r>
        <m:r>
          <m:rPr>
            <m:sty m:val="p"/>
          </m:rPr>
          <m:t>–</m:t>
        </m:r>
      </m:oMath>
      <w:r>
        <w:t xml:space="preserve">7.20) and lifted CFO guidance to</w:t>
      </w:r>
      <w:r>
        <w:t xml:space="preserve"> </w:t>
      </w:r>
      <w:r>
        <w:rPr>
          <w:b/>
          <w:bCs/>
        </w:rPr>
        <w:t xml:space="preserve">at least $9.5B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The engine was Aetna: Health Care Benefits AOI jumped to</w:t>
      </w:r>
      <w:r>
        <w:t xml:space="preserve"> </w:t>
      </w:r>
      <m:oMath>
        <m:r>
          <m:t>3.0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w</m:t>
        </m:r>
        <m:r>
          <m:t>i</m:t>
        </m:r>
        <m:r>
          <m:t>t</m:t>
        </m:r>
        <m:r>
          <m:t>h</m:t>
        </m:r>
        <m:r>
          <m:t>a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M</m:t>
        </m:r>
        <m:r>
          <m:t>B</m:t>
        </m:r>
        <m:r>
          <m:t>R</m:t>
        </m:r>
        <m:r>
          <m:t>o</m:t>
        </m:r>
        <m:r>
          <m:t>f</m:t>
        </m:r>
        <m:r>
          <m:t>84.6</m:t>
        </m:r>
      </m:oMath>
      <w:r>
        <w:rPr>
          <w:b/>
          <w:bCs/>
        </w:rPr>
        <w:t xml:space="preserve">1.1B of favorable prior-year development</w:t>
      </w:r>
      <w:r>
        <w:t xml:space="preserve"> </w:t>
      </w:r>
      <w:r>
        <w:t xml:space="preserve">plus "pockets of core outperformance."</w:t>
      </w:r>
    </w:p>
    <w:p>
      <w:pPr>
        <w:pStyle w:val="FirstParagraph"/>
      </w:pPr>
      <w:r>
        <w:t xml:space="preserve">Crucially, management flagged a</w:t>
      </w:r>
      <w:r>
        <w:t xml:space="preserve"> </w:t>
      </w:r>
      <w:r>
        <w:rPr>
          <w:b/>
          <w:bCs/>
        </w:rPr>
        <w:t xml:space="preserve">roughly 60/40 first-half/second-half earnings split</w:t>
      </w:r>
      <w:r>
        <w:t xml:space="preserve"> </w:t>
      </w:r>
      <w:r>
        <w:t xml:space="preserve">for 2026 — meaning the year is heavily front-loaded, and Q1 alone captured ~one-third of full-year AOI.</w:t>
      </w:r>
    </w:p>
    <w:p>
      <w:r>
        <w:pict>
          <v:rect style="width:0;height:1.5pt" o:hralign="center" o:hrstd="t" o:hr="t"/>
        </w:pict>
      </w:r>
    </w:p>
    <w:bookmarkEnd w:id="11"/>
    <w:bookmarkStart w:id="12" w:name="the-q2-bar"/>
    <w:p>
      <w:pPr>
        <w:pStyle w:val="Heading2"/>
      </w:pPr>
      <w:r>
        <w:t xml:space="preserve">The Q2 Bar</w:t>
      </w:r>
    </w:p>
    <w:p>
      <w:pPr>
        <w:pStyle w:val="FirstParagraph"/>
      </w:pPr>
      <w:r>
        <w:rPr>
          <w:b/>
          <w:bCs/>
        </w:rPr>
        <w:t xml:space="preserve">Year-ago base (Q2 2025):</w:t>
      </w:r>
      <w:r>
        <w:t xml:space="preserve"> </w:t>
      </w:r>
      <w:r>
        <w:t xml:space="preserve">Adjusted EPS</w:t>
      </w:r>
      <w:r>
        <w:t xml:space="preserve"> </w:t>
      </w:r>
      <m:oMath>
        <m:r>
          <m:t>1.81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i</m:t>
        </m:r>
        <m:r>
          <m:t>n</m:t>
        </m:r>
        <m:r>
          <m:t>c</m:t>
        </m:r>
        <m:r>
          <m:t>o</m:t>
        </m:r>
        <m:r>
          <m:t>m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3.81B</w:t>
      </w:r>
      <w:r>
        <w:t xml:space="preserve">, with segment AOI of HCB $1.31B, Health Services $1.58B, and Pharmacy &amp; Consumer Wellness</w:t>
      </w:r>
      <w:r>
        <w:t xml:space="preserve"> </w:t>
      </w:r>
      <m:oMath>
        <m:r>
          <m:t>1.34</m:t>
        </m:r>
        <m:r>
          <m:t>B</m:t>
        </m:r>
        <m:r>
          <m:rPr>
            <m:sty m:val="p"/>
          </m:rPr>
          <m:t>.</m:t>
        </m:r>
        <m:r>
          <m:t>N</m:t>
        </m:r>
        <m:r>
          <m:t>o</m:t>
        </m:r>
        <m:r>
          <m:t>t</m:t>
        </m:r>
        <m:r>
          <m:t>e</m:t>
        </m:r>
        <m:r>
          <m:t>t</m:t>
        </m:r>
        <m:r>
          <m:t>h</m:t>
        </m:r>
        <m:r>
          <m:t>e</m:t>
        </m:r>
        <m:r>
          <m:t>p</m:t>
        </m:r>
        <m:r>
          <m:t>r</m:t>
        </m:r>
        <m:r>
          <m:t>i</m:t>
        </m:r>
        <m:r>
          <m:t>o</m:t>
        </m:r>
        <m:r>
          <m:t>r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w</m:t>
        </m:r>
        <m:r>
          <m:t>a</m:t>
        </m:r>
        <m:r>
          <m:t>s</m:t>
        </m:r>
        <m:r>
          <m:t>m</m:t>
        </m:r>
        <m:r>
          <m:t>e</m:t>
        </m:r>
        <m:r>
          <m:t>s</m:t>
        </m:r>
        <m:r>
          <m:t>s</m:t>
        </m:r>
        <m:r>
          <m:t>y</m:t>
        </m:r>
        <m:r>
          <m:t>o</m:t>
        </m:r>
        <m:r>
          <m:t>n</m:t>
        </m:r>
        <m:r>
          <m:t>a</m:t>
        </m:r>
        <m:r>
          <m:t>G</m:t>
        </m:r>
        <m:r>
          <m:t>A</m:t>
        </m:r>
        <m:r>
          <m:t>A</m:t>
        </m:r>
        <m:r>
          <m:t>P</m:t>
        </m:r>
        <m:r>
          <m:t>b</m:t>
        </m:r>
        <m:r>
          <m:t>a</m:t>
        </m:r>
        <m:r>
          <m:t>s</m:t>
        </m:r>
        <m:r>
          <m:t>i</m:t>
        </m:r>
        <m:r>
          <m:t>s</m:t>
        </m:r>
        <m:r>
          <m:rPr>
            <m:sty m:val="p"/>
          </m:rPr>
          <m:t>—</m:t>
        </m:r>
        <m:r>
          <m:t>i</m:t>
        </m:r>
        <m:r>
          <m:t>t</m:t>
        </m:r>
        <m:r>
          <m:t>a</m:t>
        </m:r>
        <m:r>
          <m:t>b</m:t>
        </m:r>
        <m:r>
          <m:t>s</m:t>
        </m:r>
        <m:r>
          <m:t>o</m:t>
        </m:r>
        <m:r>
          <m:t>r</m:t>
        </m:r>
        <m:r>
          <m:t>b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833M of litigation charges** and a</w:t>
      </w:r>
      <w:r>
        <w:t xml:space="preserve"> </w:t>
      </w:r>
      <w:r>
        <w:rPr>
          <w:b/>
          <w:bCs/>
        </w:rPr>
        <w:t xml:space="preserve">$471M Group Medicare Advantage premium deficiency reserve</w:t>
      </w:r>
      <w:r>
        <w:t xml:space="preserve"> </w:t>
      </w:r>
      <w:r>
        <w:t xml:space="preserve">— so the YoY optics on reported figures will look distorted; focus on adjusted numbers and segment MBR.</w:t>
      </w:r>
    </w:p>
    <w:p>
      <w:pPr>
        <w:pStyle w:val="BodyText"/>
      </w:pPr>
      <w:r>
        <w:rPr>
          <w:b/>
          <w:bCs/>
        </w:rPr>
        <w:t xml:space="preserve">Guidance-implied framework:</w:t>
      </w:r>
      <w:r>
        <w:t xml:space="preserve"> </w:t>
      </w:r>
      <w:r>
        <w:t xml:space="preserve">Full-year AOI guidance midpoint (~</w:t>
      </w:r>
      <m:oMath>
        <m:r>
          <m:t>15.7</m:t>
        </m:r>
        <m:r>
          <m:t>B</m:t>
        </m:r>
        <m:r>
          <m:rPr>
            <m:sty m:val="p"/>
          </m:rPr>
          <m:t>)</m:t>
        </m:r>
        <m:r>
          <m:t>a</m:t>
        </m:r>
        <m:r>
          <m:t>t</m:t>
        </m:r>
        <m:r>
          <m:t>a</m:t>
        </m:r>
        <m:r>
          <m:t>60</m:t>
        </m:r>
        <m:r>
          <m:rPr>
            <m:sty m:val="p"/>
          </m:rPr>
          <m:t>/</m:t>
        </m:r>
        <m:r>
          <m:t>40</m:t>
        </m:r>
        <m:r>
          <m:t>s</m:t>
        </m:r>
        <m:r>
          <m:t>p</m:t>
        </m:r>
        <m:r>
          <m:t>l</m:t>
        </m:r>
        <m:r>
          <m:t>i</m:t>
        </m:r>
        <m:r>
          <m:t>t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t> </m:t>
        </m:r>
      </m:oMath>
      <w:r>
        <w:t xml:space="preserve">9.4B of H1 AOI; subtracting the</w:t>
      </w:r>
      <w:r>
        <w:t xml:space="preserve"> </w:t>
      </w:r>
      <m:oMath>
        <m:r>
          <m:t>5.15</m:t>
        </m:r>
        <m:r>
          <m:t>B</m:t>
        </m:r>
        <m:r>
          <m:t>a</m:t>
        </m:r>
        <m:r>
          <m:t>l</m:t>
        </m:r>
        <m:r>
          <m:t>r</m:t>
        </m:r>
        <m:r>
          <m:t>e</m:t>
        </m:r>
        <m:r>
          <m:t>a</m:t>
        </m:r>
        <m:r>
          <m:t>d</m:t>
        </m:r>
        <m:r>
          <m:t>y</m:t>
        </m:r>
        <m:r>
          <m:t>b</m:t>
        </m:r>
        <m:r>
          <m:t>o</m:t>
        </m:r>
        <m:r>
          <m:t>o</m:t>
        </m:r>
        <m:r>
          <m:t>k</m:t>
        </m:r>
        <m:r>
          <m:t>e</m:t>
        </m:r>
        <m:r>
          <m:t>d</m:t>
        </m:r>
        <m:r>
          <m:t>i</m:t>
        </m:r>
        <m:r>
          <m:t>n</m:t>
        </m:r>
        <m:r>
          <m:t>Q</m:t>
        </m:r>
        <m:r>
          <m:t>1</m:t>
        </m:r>
        <m:r>
          <m:t>l</m:t>
        </m:r>
        <m:r>
          <m:t>e</m:t>
        </m:r>
        <m:r>
          <m:t>a</m:t>
        </m:r>
        <m:r>
          <m:t>v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4.2–4.3B of implied Q2 AOI, roughly +12% YoY**. Scaling off Q1's economics, that points to **Q2 adjusted EPS comfortably above the</w:t>
      </w:r>
      <w:r>
        <w:t xml:space="preserve"> </w:t>
      </w:r>
      <m:oMath>
        <m:r>
          <m:t>1.81</m:t>
        </m:r>
        <m:r>
          <m:t>p</m:t>
        </m:r>
        <m:r>
          <m:t>r</m:t>
        </m:r>
        <m:r>
          <m:t>i</m:t>
        </m:r>
        <m:r>
          <m:t>o</m:t>
        </m:r>
        <m:r>
          <m:t>r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m</m:t>
        </m:r>
        <m:r>
          <m:t>a</m:t>
        </m:r>
        <m:r>
          <m:t>r</m:t>
        </m:r>
        <m:r>
          <m:t>k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f</m:t>
        </m:r>
        <m:r>
          <m:t>r</m:t>
        </m:r>
        <m:r>
          <m:t>a</m:t>
        </m:r>
        <m:r>
          <m:t>m</m:t>
        </m:r>
        <m:r>
          <m:t>e</m:t>
        </m:r>
        <m:r>
          <m:t>w</m:t>
        </m:r>
        <m:r>
          <m:t>o</m:t>
        </m:r>
        <m:r>
          <m:t>r</m:t>
        </m:r>
        <m:r>
          <m:t>k</m:t>
        </m:r>
        <m:r>
          <m:t>m</m:t>
        </m:r>
        <m:r>
          <m:t>a</m:t>
        </m:r>
        <m:r>
          <m:t>t</m:t>
        </m:r>
        <m:r>
          <m:t>h</m:t>
        </m:r>
        <m:r>
          <m:t>l</m:t>
        </m:r>
        <m:r>
          <m:t>a</m:t>
        </m:r>
        <m:r>
          <m:t>n</m:t>
        </m:r>
        <m:r>
          <m:t>d</m:t>
        </m:r>
        <m:r>
          <m:t>s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1.90–2.10 area). The key takeaway: consensus is looking for solid year-over-year adjusted growth, driven almost entirely by the Aetna margin recovery.</w:t>
      </w:r>
    </w:p>
    <w:p>
      <w:r>
        <w:pict>
          <v:rect style="width:0;height:1.5pt" o:hralign="center" o:hrstd="t" o:hr="t"/>
        </w:pict>
      </w:r>
    </w:p>
    <w:bookmarkEnd w:id="12"/>
    <w:bookmarkStart w:id="19" w:name="what-investors-should-watch"/>
    <w:p>
      <w:pPr>
        <w:pStyle w:val="Heading2"/>
      </w:pPr>
      <w:r>
        <w:t xml:space="preserve">What Investors Should Watch</w:t>
      </w:r>
    </w:p>
    <w:bookmarkStart w:id="13" w:name="X8023cc590f0c26ac475cdfdcea975721ab62cae"/>
    <w:p>
      <w:pPr>
        <w:pStyle w:val="Heading3"/>
      </w:pPr>
      <w:r>
        <w:t xml:space="preserve">1. Aetna MBR &amp; medical cost trend — the whole thesis</w:t>
      </w:r>
    </w:p>
    <w:p>
      <w:pPr>
        <w:pStyle w:val="FirstParagraph"/>
      </w:pPr>
      <w:r>
        <w:t xml:space="preserve">This is the number that moves the stock. Full-year MBR is guided to</w:t>
      </w:r>
      <w:r>
        <w:t xml:space="preserve"> </w:t>
      </w:r>
      <w:r>
        <w:rPr>
          <w:b/>
          <w:bCs/>
        </w:rPr>
        <w:t xml:space="preserve">90.5% ± 50 bps</w:t>
      </w:r>
      <w:r>
        <w:t xml:space="preserve">, and the H2-weighted seasonality means the MBR steps up meaningfully from Q1's 84.6%. Investors will scrutinize: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Q2 MBR vs. the year-ago 89.9%</w:t>
      </w:r>
      <w:r>
        <w:t xml:space="preserve"> </w:t>
      </w:r>
      <w:r>
        <w:t xml:space="preserve">(which itself included ~140 bps from the PDR).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Whether current-year cost trend is behaving.</w:t>
      </w:r>
      <w:r>
        <w:t xml:space="preserve"> </w:t>
      </w:r>
      <w:r>
        <w:t xml:space="preserve">Management has deliberately kept a "respectful and prudent" trend assumption and did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flow Q1's core outperformance into guidance. Any commentary that trend is landing better than feared would be a positive catalyst; any hint of reacceleration (a live risk across managed care in this cycle) would hit hard given the re-rated multiple.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Prior-year development and days claims payable.</w:t>
      </w:r>
      <w:r>
        <w:t xml:space="preserve"> </w:t>
      </w:r>
      <w:r>
        <w:t xml:space="preserve">Q1 benefited from $1.1B of favorable PYD, and DCP rose to 42.9 days (from 38.9 at YE). Watch reserve adequacy — the market is sensitive to earnings "quality" (i.e., how much is core vs. reserve releases).</w:t>
      </w:r>
    </w:p>
    <w:bookmarkEnd w:id="13"/>
    <w:bookmarkStart w:id="14" w:name="X514f139047a51df192089cc69b20fbfb464477a"/>
    <w:p>
      <w:pPr>
        <w:pStyle w:val="Heading3"/>
      </w:pPr>
      <w:r>
        <w:t xml:space="preserve">2. Will they raise guidance again?</w:t>
      </w:r>
    </w:p>
    <w:p>
      <w:pPr>
        <w:pStyle w:val="FirstParagraph"/>
      </w:pPr>
      <w:r>
        <w:t xml:space="preserve">Given the strong Q1, the conservative embedded trend, and the front-loaded 60/40 shape, another</w:t>
      </w:r>
      <w:r>
        <w:t xml:space="preserve"> </w:t>
      </w:r>
      <w:r>
        <w:rPr>
          <w:b/>
          <w:bCs/>
        </w:rPr>
        <w:t xml:space="preserve">guidance raise (or at least a raise-to-the-high-end)</w:t>
      </w:r>
      <w:r>
        <w:t xml:space="preserve"> </w:t>
      </w:r>
      <w:r>
        <w:t xml:space="preserve">is plausible and arguably semi-expected. With the stock up 30%, a simple reiteration could disappoint. Watch how management frames the H2 setup.</w:t>
      </w:r>
    </w:p>
    <w:bookmarkEnd w:id="14"/>
    <w:bookmarkStart w:id="15" w:name="X7caf58feddbb6562d596c7b7ea8316ad9274105"/>
    <w:p>
      <w:pPr>
        <w:pStyle w:val="Heading3"/>
      </w:pPr>
      <w:r>
        <w:t xml:space="preserve">3. Health Services / Caremark — the offsetting drag</w:t>
      </w:r>
    </w:p>
    <w:p>
      <w:pPr>
        <w:pStyle w:val="FirstParagraph"/>
      </w:pPr>
      <w:r>
        <w:t xml:space="preserve">Health Services AOI has been</w:t>
      </w:r>
      <w:r>
        <w:t xml:space="preserve"> </w:t>
      </w:r>
      <w:r>
        <w:rPr>
          <w:i/>
          <w:iCs/>
        </w:rPr>
        <w:t xml:space="preserve">declining</w:t>
      </w:r>
      <w:r>
        <w:t xml:space="preserve"> </w:t>
      </w:r>
      <w:r>
        <w:t xml:space="preserve">YoY (Q1 down 7%; Q2 2025 down 18%) on</w:t>
      </w:r>
      <w:r>
        <w:t xml:space="preserve"> </w:t>
      </w:r>
      <w:r>
        <w:rPr>
          <w:b/>
          <w:bCs/>
        </w:rPr>
        <w:t xml:space="preserve">pharmacy client price improvements and rebate-guarantee pressure</w:t>
      </w:r>
      <w:r>
        <w:t xml:space="preserve">. Management says it's "executing well" against 2026 rebate-guarantee commitments with "no surprises" expected. Watch for confirmation the pressure is contained, plus updates on the shift toward</w:t>
      </w:r>
      <w:r>
        <w:t xml:space="preserve"> </w:t>
      </w:r>
      <w:r>
        <w:rPr>
          <w:b/>
          <w:bCs/>
        </w:rPr>
        <w:t xml:space="preserve">net-cost/transparent models (TrueCost, CostVantage)</w:t>
      </w:r>
      <w:r>
        <w:t xml:space="preserve"> </w:t>
      </w:r>
      <w:r>
        <w:t xml:space="preserve">and specialty/GLP-1 dynamics.</w:t>
      </w:r>
    </w:p>
    <w:bookmarkEnd w:id="15"/>
    <w:bookmarkStart w:id="16" w:name="Xb8d9372fa4ca7f48bd907a71ef0d39481c44ba2"/>
    <w:p>
      <w:pPr>
        <w:pStyle w:val="Heading3"/>
      </w:pPr>
      <w:r>
        <w:t xml:space="preserve">4. Pharmacy &amp; Consumer Wellness resilience</w:t>
      </w:r>
    </w:p>
    <w:p>
      <w:pPr>
        <w:pStyle w:val="FirstParagraph"/>
      </w:pPr>
      <w:r>
        <w:t xml:space="preserve">PCW has been a quiet outperformer (strong script volume, ~29% retail share, Rite Aid file acquisitions), though AOI has dipped YoY on reimbursement pressure and investments. Q1 was hurt by mild flu season and weather; a normalized comparison and script-volume trends are worth watching. FY guidance was nudged to</w:t>
      </w:r>
      <w:r>
        <w:t xml:space="preserve"> </w:t>
      </w:r>
      <w:r>
        <w:rPr>
          <w:b/>
          <w:bCs/>
        </w:rPr>
        <w:t xml:space="preserve">at least $6.18B</w:t>
      </w:r>
      <w:r>
        <w:t xml:space="preserve">.</w:t>
      </w:r>
    </w:p>
    <w:bookmarkEnd w:id="16"/>
    <w:bookmarkStart w:id="17" w:name="Xd74e084139ca8da899d076d67094cc9adcde2f0"/>
    <w:p>
      <w:pPr>
        <w:pStyle w:val="Heading3"/>
      </w:pPr>
      <w:r>
        <w:t xml:space="preserve">5. Capital return / balance sheet</w:t>
      </w:r>
    </w:p>
    <w:p>
      <w:pPr>
        <w:pStyle w:val="FirstParagraph"/>
      </w:pPr>
      <w:r>
        <w:t xml:space="preserve">The most-asked forward question:</w:t>
      </w:r>
      <w:r>
        <w:t xml:space="preserve"> </w:t>
      </w:r>
      <w:r>
        <w:rPr>
          <w:b/>
          <w:bCs/>
        </w:rPr>
        <w:t xml:space="preserve">when does the buyback come back on?</w:t>
      </w:r>
      <w:r>
        <w:t xml:space="preserve"> </w:t>
      </w:r>
      <w:r>
        <w:t xml:space="preserve">Leverage improved to</w:t>
      </w:r>
      <w:r>
        <w:t xml:space="preserve"> </w:t>
      </w:r>
      <w:r>
        <w:rPr>
          <w:b/>
          <w:bCs/>
        </w:rPr>
        <w:t xml:space="preserve">3.84x</w:t>
      </w:r>
      <w:r>
        <w:t xml:space="preserve"> </w:t>
      </w:r>
      <w:r>
        <w:t xml:space="preserve">at Q1, and management said share repurchase is</w:t>
      </w:r>
      <w:r>
        <w:t xml:space="preserve"> </w:t>
      </w:r>
      <w:r>
        <w:rPr>
          <w:b/>
          <w:bCs/>
        </w:rPr>
        <w:t xml:space="preserve">not baked into 2026 guidance</w:t>
      </w:r>
      <w:r>
        <w:t xml:space="preserve"> </w:t>
      </w:r>
      <w:r>
        <w:t xml:space="preserve">but is under evaluation as leverage improves. Any signal on resuming repurchases — or on M&amp;A/capital deployment — could be a meaningful sentiment lever.</w:t>
      </w:r>
    </w:p>
    <w:bookmarkEnd w:id="17"/>
    <w:bookmarkStart w:id="18" w:name="Xb8d676ce1ec5b8831626bcdb10e08695f2dfbcd"/>
    <w:p>
      <w:pPr>
        <w:pStyle w:val="Heading3"/>
      </w:pPr>
      <w:r>
        <w:t xml:space="preserve">6. 2027 setup &amp; regulatory backdrop</w:t>
      </w:r>
    </w:p>
    <w:p>
      <w:pPr>
        <w:pStyle w:val="FirstParagraph"/>
      </w:pPr>
      <w:r>
        <w:t xml:space="preserve">Look for early color on: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2027 Medicare Advantage positioning</w:t>
      </w:r>
      <w:r>
        <w:t xml:space="preserve"> </w:t>
      </w:r>
      <w:r>
        <w:t xml:space="preserve">— management reaffirmed a path to MA target margins (~3%) by 2028 and expects "meaningful progress" in 2027; the April Final Rate Notice was called "a step in the right direction" but still short of trend.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FTC settlement</w:t>
      </w:r>
      <w:r>
        <w:t xml:space="preserve"> </w:t>
      </w:r>
      <w:r>
        <w:t xml:space="preserve">progress on PBM practices, and</w:t>
      </w:r>
      <w:r>
        <w:t xml:space="preserve"> </w:t>
      </w:r>
      <w:r>
        <w:rPr>
          <w:b/>
          <w:bCs/>
        </w:rPr>
        <w:t xml:space="preserve">state-level PBM laws</w:t>
      </w:r>
      <w:r>
        <w:t xml:space="preserve"> </w:t>
      </w:r>
      <w:r>
        <w:t xml:space="preserve">(Tennessee, effective mid-2028; potential legal action) — headline risk more than near-term numbers.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Health100</w:t>
      </w:r>
      <w:r>
        <w:t xml:space="preserve"> </w:t>
      </w:r>
      <w:r>
        <w:t xml:space="preserve">(the AI/Google Cloud consumer platform) launch progress — the strategic "consumer health-technology company" pivot.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CVS enters this print with</w:t>
      </w:r>
      <w:r>
        <w:t xml:space="preserve"> </w:t>
      </w:r>
      <w:r>
        <w:rPr>
          <w:b/>
          <w:bCs/>
        </w:rPr>
        <w:t xml:space="preserve">momentum on its side but the easy money likely made</w:t>
      </w:r>
      <w:r>
        <w:t xml:space="preserve">. The bull case — a durable Aetna margin recovery, conservative embedded trend leaving room to beat, deleveraging opening the door to buybacks, and stabilizing PCW — is now substantially reflected in a stock up ~30% YTD. The bar for Q2 is a</w:t>
      </w:r>
      <w:r>
        <w:t xml:space="preserve"> </w:t>
      </w:r>
      <w:r>
        <w:rPr>
          <w:b/>
          <w:bCs/>
        </w:rPr>
        <w:t xml:space="preserve">clean beat on adjusted EPS (vs. the $1.81 base), a well-behaved MBR, reassurance on medical cost trend, and ideally another guidance raise plus a credible path to resuming capital return.</w:t>
      </w:r>
      <w:r>
        <w:t xml:space="preserve"> </w:t>
      </w:r>
      <w:r>
        <w:t xml:space="preserve">The primary downside risk is any crack in the cost-trend story or a "low-quality" beat leaning on reserve development — either of which the current valuation is less forgiving of than it was six months ago.</w:t>
      </w:r>
    </w:p>
    <w:p>
      <w:pPr>
        <w:pStyle w:val="BodyText"/>
      </w:pPr>
      <w:r>
        <w:rPr>
          <w:i/>
          <w:iCs/>
        </w:rPr>
        <w:t xml:space="preserve">Note: EPS/AOI estimates above are derived from company guidance and the disclosed 60/40 first-half/second-half framework, not from formal published consensus, which I was unable to independently verify with the tools available.</w:t>
      </w:r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2026-08-05T00:23:13Z</dcterms:created>
  <dcterms:modified xsi:type="dcterms:W3CDTF">2026-08-05T00:23:13Z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