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vs-earnings-predictions--2026-08-05"/>
    <w:p>
      <w:pPr>
        <w:pStyle w:val="Heading1"/>
      </w:pPr>
      <w:r>
        <w:t xml:space="preserve">CVS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~$1.95 vs. cons $1.86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Health Care Benefits MBR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~89.9% vs. cons ~90.5%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~$100.6B vs. cons $100.2B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7.55</m:t>
              </m:r>
              <m:r>
                <m:rPr>
                  <m:sty m:val="p"/>
                </m:rPr>
                <m:t>−</m:t>
              </m:r>
            </m:oMath>
            <w:r>
              <w:t xml:space="preserve">7.65 vs. cons $7.50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Enterprise Adjusted Operating Income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15.9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16.1B vs. cons $15.7B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Health Care Benefits MBR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~90.5% +/-50bps vs. cons 90.4%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H1/H2 earnings split &amp; buyback signal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~60/40 split reaffirmed vs. cons expectation of 60/40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+3.2% (FOLLOW-THROUGH)</w:t>
            </w:r>
          </w:p>
        </w:tc>
        <w:tc>
          <w:tcPr/>
          <w:p>
            <w:pPr>
              <w:pStyle w:val="Compact"/>
            </w:pPr>
            <w:r>
              <w:t xml:space="preserve">A likely beat-and-raise on EPS/AOI driven by continued organic MBR improvement (not just reserve releases) should trigger positive out-period estimate revisions for 2027/2028 MA margin targets, extending gains over the week; however upside is capped since much of the Aetna turnaround is already priced in after the +30% YTD run and Q1 rally, so follow-through is modest rather than explosive, with risk of partial fade if MBR improvement is flagged as partly reserve-driven again.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2026-08-05T00:09:33Z</dcterms:created>
  <dcterms:modified xsi:type="dcterms:W3CDTF">2026-08-05T00:09:33Z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