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s-earnings-predictions--2026-08-05"/>
    <w:p>
      <w:pPr>
        <w:pStyle w:val="Heading1"/>
      </w:pPr>
      <w:r>
        <w:t xml:space="preserve">CVS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~$100.8B vs. cons $100.09B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Care Benefits medical benefit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~89.0% vs. cons 90.1%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7.40</m:t>
              </m:r>
              <m:r>
                <m:rPr>
                  <m:sty m:val="p"/>
                </m:rPr>
                <m:t>−</m:t>
              </m:r>
            </m:oMath>
            <w:r>
              <w:t xml:space="preserve">7.60 vs. cons $7.46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Health Care Benefits 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4.49B vs. cons $4.30B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Medical benefit ratio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~90.0% vs. cons 90.3%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~$10.0B vs. cons $9.8B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Aetna cost performance and a modest FY2026 raise should drive the initial upside, but the raise is likely concentrated in Q2 and reserve/current-year favorability rather than materially higher second-half earnings. With the stock already pricing in a strong recovery, limited upward revision to implied Q3-Q4 and 2027 estimates should cause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2026-08-05T00:11:47Z</dcterms:created>
  <dcterms:modified xsi:type="dcterms:W3CDTF">2026-08-05T00:11:47Z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