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s-earnings-predictions--2026-08-05"/>
    <w:p>
      <w:pPr>
        <w:pStyle w:val="Heading1"/>
      </w:pPr>
      <w:r>
        <w:t xml:space="preserve">CVS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~$1.89 vs. cons $1.85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Care Benefits 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~$1.60B vs. cons $1.54B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Services adjusted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~$1.40B vs. cons $1.46B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~$7.40 midpoint vs. cons $7.47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cash flow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~$9.50B vs. cons $9.75B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~$405.0B vs. cons $406.2B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Health Care Benefits MBR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~90.5% vs. cons 90.4%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-3.6% (FOLLOW-THROUGH)</w:t>
            </w:r>
          </w:p>
        </w:tc>
        <w:tc>
          <w:tcPr/>
          <w:p>
            <w:pPr>
              <w:pStyle w:val="Compact"/>
            </w:pPr>
            <w:r>
              <w:t xml:space="preserve">A ~$1.89 EPS result versus</w:t>
            </w:r>
            <w:r>
              <w:t xml:space="preserve"> </w:t>
            </w:r>
            <m:oMath>
              <m:r>
                <m:t>1.85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s</m:t>
              </m:r>
              <m:r>
                <m:t>t</m:t>
              </m:r>
              <m:r>
                <m:t>r</m:t>
              </m:r>
              <m:r>
                <m:t>o</m:t>
              </m:r>
              <m:r>
                <m:t>n</m:t>
              </m:r>
              <m:r>
                <m:t>g</m:t>
              </m:r>
              <m:r>
                <m:t>e</m:t>
              </m:r>
              <m:r>
                <m:t>r</m:t>
              </m:r>
              <m:r>
                <m:t> </m:t>
              </m:r>
            </m:oMath>
            <w:r>
              <w:t xml:space="preserve">1.60B Health Care Benefits profit versus</w:t>
            </w:r>
            <w:r>
              <w:t xml:space="preserve"> </w:t>
            </w:r>
            <m:oMath>
              <m:r>
                <m:t>1.54</m:t>
              </m:r>
              <m:r>
                <m:t>B</m:t>
              </m:r>
              <m:r>
                <m:t>a</m:t>
              </m:r>
              <m:r>
                <m:t>r</m:t>
              </m:r>
              <m:r>
                <m:t>e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a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7.40 FY2026 EPS midpoint versus</w:t>
            </w:r>
            <w:r>
              <w:t xml:space="preserve"> </w:t>
            </w:r>
            <m:oMath>
              <m:r>
                <m:t>7.47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9.50B operating-cash-flow guide versus</w:t>
            </w:r>
            <w:r>
              <w:t xml:space="preserve"> </w:t>
            </w:r>
            <m:oMath>
              <m:r>
                <m:t>9.75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s</m:t>
              </m:r>
              <m:r>
                <m:t>e</m:t>
              </m:r>
              <m:r>
                <m:t>c</m:t>
              </m:r>
              <m:r>
                <m:t>o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u</m:t>
              </m:r>
              <m:r>
                <m:t>r</m:t>
              </m:r>
              <m:r>
                <m:t>d</m:t>
              </m:r>
              <m:r>
                <m:t>e</m:t>
              </m:r>
              <m:r>
                <m:t>n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d</m:t>
              </m:r>
              <m:r>
                <m:t>e</m:t>
              </m:r>
              <m:r>
                <m:t>m</m:t>
              </m:r>
              <m:r>
                <m:t>a</m:t>
              </m:r>
              <m:r>
                <m:t>n</m:t>
              </m:r>
              <m:r>
                <m:t>d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t</m:t>
              </m:r>
              <m:r>
                <m:t>h</m:t>
              </m:r>
              <m:r>
                <m:t>e</m:t>
              </m:r>
              <m:r>
                <m:t> </m:t>
              </m:r>
            </m:oMath>
            <w:r>
              <w:t xml:space="preserve">1.40B Health Services result versus $1.46B consensus reinforces out-period estimate risk.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2026-08-05T00:11:07Z</dcterms:created>
  <dcterms:modified xsi:type="dcterms:W3CDTF">2026-08-05T00:11:07Z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