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b54174abcf377b6d1bf71ad2abdad6e89f9d6e"/>
    <w:p>
      <w:pPr>
        <w:pStyle w:val="Heading1"/>
      </w:pPr>
      <w:r>
        <w:t xml:space="preserve">CVS Health (NYSE: CVS) — 2Q26 Earnings Preview</w:t>
      </w:r>
    </w:p>
    <w:p>
      <w:pPr>
        <w:pStyle w:val="BlockText"/>
      </w:pPr>
      <w:r>
        <w:rPr>
          <w:b/>
          <w:bCs/>
        </w:rPr>
        <w:t xml:space="preserve">Calendar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Wednesday, August 5, 2026</w:t>
      </w:r>
      <w:r>
        <w:t xml:space="preserve">. CVS has confirmed its second-quarter results call for</w:t>
      </w:r>
      <w:r>
        <w:t xml:space="preserve"> </w:t>
      </w:r>
      <w:r>
        <w:rPr>
          <w:b/>
          <w:bCs/>
        </w:rPr>
        <w:t xml:space="preserve">8:00 a.m. ET today</w:t>
      </w:r>
      <w:r>
        <w:t xml:space="preserve">, so the event is</w:t>
      </w:r>
      <w:r>
        <w:t xml:space="preserve"> </w:t>
      </w:r>
      <w:r>
        <w:rPr>
          <w:b/>
          <w:bCs/>
        </w:rPr>
        <w:t xml:space="preserve">today—not tomorrow</w:t>
      </w:r>
      <w:r>
        <w:t xml:space="preserve">. This preview is framed using information available ahead of the release. (</w:t>
      </w:r>
      <w:hyperlink r:id="rId9">
        <w:r>
          <w:rPr>
            <w:rStyle w:val="Hyperlink"/>
          </w:rPr>
          <w:t xml:space="preserve">investors.cvshealth.com</w:t>
        </w:r>
      </w:hyperlink>
      <w:r>
        <w:t xml:space="preserve">)</w:t>
      </w:r>
    </w:p>
    <w:bookmarkStart w:id="11" w:name="X53849fb8faffd31a200f3d7a9dd20c0544557cd"/>
    <w:p>
      <w:pPr>
        <w:pStyle w:val="Heading2"/>
      </w:pPr>
      <w:r>
        <w:t xml:space="preserve">Investment view: the setup is constructive, but the bar has moved higher</w:t>
      </w:r>
    </w:p>
    <w:p>
      <w:pPr>
        <w:pStyle w:val="FirstParagraph"/>
      </w:pPr>
      <w:r>
        <w:t xml:space="preserve">CVS enters 2Q with a credible turnaround narrative already in the stock: better-than-expected Aetna execution, a first-quarter guidance increase, improving retail prescription momentum, and increasingly visible balance-sheet repair. The shares closed at</w:t>
      </w:r>
      <w:r>
        <w:t xml:space="preserve"> </w:t>
      </w:r>
      <w:r>
        <w:rPr>
          <w:b/>
          <w:bCs/>
        </w:rPr>
        <w:t xml:space="preserve">$104.45 on August 4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30% year to date</w:t>
      </w:r>
      <w:r>
        <w:t xml:space="preserve"> </w:t>
      </w:r>
      <w:r>
        <w:t xml:space="preserve">based on available closing-price data.</w:t>
      </w:r>
    </w:p>
    <w:p>
      <w:pPr>
        <w:pStyle w:val="BodyText"/>
      </w:pPr>
      <w:r>
        <w:t xml:space="preserve">That changes the burden of proof. A modest EPS beat alone may not be enough. Investors will likely focus on whether CVS can: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Validate that Aetna’s margin recovery is fundamental rather than reserve-driven;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Reaffirm or raise 2026 guidance despite a more difficult second-half setup;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Demonstrate that PBM and retail-pharmacy pressure is manageable while prescription volume stays strong.</w:t>
      </w:r>
    </w:p>
    <w:p>
      <w:pPr>
        <w:pStyle w:val="FirstParagraph"/>
      </w:pPr>
      <w:r>
        <w:t xml:space="preserve">Third-party consensus data point to</w:t>
      </w:r>
      <w:r>
        <w:t xml:space="preserve"> </w:t>
      </w:r>
      <w:r>
        <w:rPr>
          <w:b/>
          <w:bCs/>
        </w:rPr>
        <w:t xml:space="preserve">2Q adjusted EPS of about</w:t>
      </w:r>
      <w:r>
        <w:rPr>
          <w:b/>
          <w:bCs/>
        </w:rPr>
        <w:t xml:space="preserve"> </w:t>
      </w:r>
      <m:oMath>
        <m:r>
          <m:t>1.85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1.81</w:t>
      </w:r>
      <w:r>
        <w:t xml:space="preserve"> </w:t>
      </w:r>
      <w:r>
        <w:t xml:space="preserve">in 2Q25. (</w:t>
      </w:r>
      <w:hyperlink r:id="rId10">
        <w:r>
          <w:rPr>
            <w:rStyle w:val="Hyperlink"/>
          </w:rPr>
          <w:t xml:space="preserve">tipranks.com</w:t>
        </w:r>
      </w:hyperlink>
      <w:r>
        <w:t xml:space="preserve">) This is a relatively modest year-over-year hurdle, but the quality and durability of the result matter much more than the headline comparison.</w:t>
      </w:r>
    </w:p>
    <w:bookmarkEnd w:id="11"/>
    <w:bookmarkStart w:id="13" w:name="X36d31bc0a7c74de83e97cbd7e3acfe8d30ef399"/>
    <w:p>
      <w:pPr>
        <w:pStyle w:val="Heading2"/>
      </w:pPr>
      <w:r>
        <w:t xml:space="preserve">The key framing: management’s full-year guide implies a normal 2Q</w:t>
      </w:r>
    </w:p>
    <w:p>
      <w:pPr>
        <w:pStyle w:val="FirstParagraph"/>
      </w:pPr>
      <w:r>
        <w:t xml:space="preserve">After 1Q, CVS raised its 2026 adjusted EPS outlook to</w:t>
      </w:r>
      <w:r>
        <w:t xml:space="preserve"> </w:t>
      </w:r>
      <m:oMath>
        <m:r>
          <m:t>7.30</m:t>
        </m:r>
        <m:r>
          <m:rPr>
            <m:sty m:val="p"/>
          </m:rPr>
          <m:t>–</m:t>
        </m:r>
      </m:oMath>
      <w:r>
        <w:rPr>
          <w:b/>
          <w:bCs/>
        </w:rPr>
        <w:t xml:space="preserve">7.50</w:t>
      </w:r>
      <w:r>
        <w:t xml:space="preserve">, from</w:t>
      </w:r>
      <w:r>
        <w:t xml:space="preserve"> </w:t>
      </w:r>
      <m:oMath>
        <m:r>
          <m:t>7.00</m:t>
        </m:r>
        <m:r>
          <m:rPr>
            <m:sty m:val="p"/>
          </m:rPr>
          <m:t>–</m:t>
        </m:r>
      </m:oMath>
      <w:r>
        <w:t xml:space="preserve">7.20, and said it expected an approximately</w:t>
      </w:r>
      <w:r>
        <w:t xml:space="preserve"> </w:t>
      </w:r>
      <w:r>
        <w:rPr>
          <w:b/>
          <w:bCs/>
        </w:rPr>
        <w:t xml:space="preserve">60/40 split of annual earnings between the first and second halves</w:t>
      </w:r>
      <w:r>
        <w:t xml:space="preserve">. First-quarter adjusted EPS was</w:t>
      </w:r>
      <w:r>
        <w:t xml:space="preserve"> </w:t>
      </w:r>
      <w:r>
        <w:rPr>
          <w:b/>
          <w:bCs/>
        </w:rPr>
        <w:t xml:space="preserve">$2.57</w:t>
      </w:r>
      <w:r>
        <w:t xml:space="preserve">. (</w:t>
      </w:r>
      <w:hyperlink r:id="rId12">
        <w:r>
          <w:rPr>
            <w:rStyle w:val="Hyperlink"/>
          </w:rPr>
          <w:t xml:space="preserve">cvshealth.com</w:t>
        </w:r>
      </w:hyperlink>
      <w:r>
        <w:t xml:space="preserve">)</w:t>
      </w:r>
    </w:p>
    <w:p>
      <w:pPr>
        <w:pStyle w:val="BodyText"/>
      </w:pPr>
      <w:r>
        <w:t xml:space="preserve">That math implies roughly: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2026 adjusted EPS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1H EPS at 60%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Less 1Q26 actual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Implied 2Q26 EPS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$7.30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$2.57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$1.81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$7.50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$2.57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$1.93</w:t>
            </w:r>
          </w:p>
        </w:tc>
      </w:tr>
    </w:tbl>
    <w:p>
      <w:pPr>
        <w:pStyle w:val="BodyText"/>
      </w:pPr>
      <w:r>
        <w:rPr>
          <w:b/>
          <w:bCs/>
        </w:rPr>
        <w:t xml:space="preserve">Takeaway:</w:t>
      </w:r>
      <w:r>
        <w:t xml:space="preserve"> </w:t>
      </w:r>
      <w:r>
        <w:t xml:space="preserve">the roughly $1.85 consensus estimate is broadly consistent with maintained guidance. Therefore, an EPS result around consensus accompanied by a confident full-year reaffirmation should be acceptable; a result materially above consensus with no uplift to guidance could invite questions about conservatism, timing, or second-half cost trends.</w:t>
      </w:r>
    </w:p>
    <w:bookmarkEnd w:id="13"/>
    <w:bookmarkStart w:id="17" w:name="X7520f269f5f8834639e35977515ec3c62b9db3f"/>
    <w:p>
      <w:pPr>
        <w:pStyle w:val="Heading2"/>
      </w:pPr>
      <w:r>
        <w:t xml:space="preserve">What matters most: Aetna’s medical-cost trajectory</w:t>
      </w:r>
    </w:p>
    <w:p>
      <w:pPr>
        <w:pStyle w:val="FirstParagraph"/>
      </w:pPr>
      <w:r>
        <w:t xml:space="preserve">Aetna is still the central driver of the CVS equity story.</w:t>
      </w:r>
    </w:p>
    <w:p>
      <w:pPr>
        <w:pStyle w:val="BodyText"/>
      </w:pPr>
      <w:r>
        <w:t xml:space="preserve">In 1Q, Health Care Benefits generated</w:t>
      </w:r>
      <w:r>
        <w:t xml:space="preserve"> </w:t>
      </w:r>
      <m:oMath>
        <m:r>
          <m:t>3.04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53</m:t>
        </m:r>
      </m:oMath>
      <w:r>
        <w:rPr>
          <w:b/>
          <w:bCs/>
        </w:rPr>
        <w:t xml:space="preserve">1.1 billion of favorable prior-year development</w:t>
      </w:r>
      <w:r>
        <w:t xml:space="preserve">. (</w:t>
      </w:r>
      <w:hyperlink r:id="rId14">
        <w:r>
          <w:rPr>
            <w:rStyle w:val="Hyperlink"/>
          </w:rPr>
          <w:t xml:space="preserve">cvshealth.com</w:t>
        </w:r>
      </w:hyperlink>
      <w:r>
        <w:t xml:space="preserve">)</w:t>
      </w:r>
    </w:p>
    <w:p>
      <w:pPr>
        <w:pStyle w:val="BodyText"/>
      </w:pPr>
      <w:r>
        <w:t xml:space="preserve">The important caveat is that management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fully flow early core outperformance into its annual outlook; it retained a cautious view on medical-cost trends and maintained full-year MBR guidance of</w:t>
      </w:r>
      <w:r>
        <w:t xml:space="preserve"> </w:t>
      </w:r>
      <w:r>
        <w:rPr>
          <w:b/>
          <w:bCs/>
        </w:rPr>
        <w:t xml:space="preserve">90.5%, plus or minus 50 bps</w:t>
      </w:r>
      <w:r>
        <w:t xml:space="preserve">.</w:t>
      </w:r>
    </w:p>
    <w:bookmarkStart w:id="16" w:name="questions-investors-should-ask"/>
    <w:p>
      <w:pPr>
        <w:pStyle w:val="Heading3"/>
      </w:pPr>
      <w:r>
        <w:t xml:space="preserve">Questions investors should ask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What is the 2Q MBR, and how much of the result comes from favorable prior-year development?</w:t>
      </w:r>
      <w:r>
        <w:br/>
      </w:r>
      <w:r>
        <w:t xml:space="preserve">Investors want evidence that current-year medical-cost management—not reserve releases—is carrying the improvement.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Are medical-cost trends stable across Medicare Advantage, Medicaid, and Commercial?</w:t>
      </w:r>
      <w:r>
        <w:br/>
      </w:r>
      <w:r>
        <w:t xml:space="preserve">Aetna’s Government businesses drove much of the 1Q improvement. Confirmation that Medicare Advantage pricing, benefit design, utilization management, and provider contracting are working would be the most consequential positive read-through.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Are reserves still adequate?</w:t>
      </w:r>
      <w:r>
        <w:br/>
      </w:r>
      <w:r>
        <w:t xml:space="preserve">CVS’s 2Q25 result included a</w:t>
      </w:r>
      <w:r>
        <w:t xml:space="preserve"> </w:t>
      </w:r>
      <w:r>
        <w:rPr>
          <w:b/>
          <w:bCs/>
        </w:rPr>
        <w:t xml:space="preserve">$471 million Group Medicare Advantage premium-deficiency reserve</w:t>
      </w:r>
      <w:r>
        <w:t xml:space="preserve"> </w:t>
      </w:r>
      <w:r>
        <w:t xml:space="preserve">amid utilization pressure. That creates an easier comparison, but it also keeps reserve adequacy front and center. (</w:t>
      </w:r>
      <w:hyperlink r:id="rId15">
        <w:r>
          <w:rPr>
            <w:rStyle w:val="Hyperlink"/>
          </w:rPr>
          <w:t xml:space="preserve">cvshealth.com</w:t>
        </w:r>
      </w:hyperlink>
      <w:r>
        <w:t xml:space="preserve">)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Does management maintain confidence in the path to target Medicare Advantage margins by 2028?</w:t>
      </w:r>
      <w:r>
        <w:br/>
      </w:r>
      <w:r>
        <w:t xml:space="preserve">CVS has previously reiterated that objective. A reaffirmation matters; any qualification would likely outweigh a small quarterly EPS beat.</w:t>
      </w:r>
    </w:p>
    <w:p>
      <w:pPr>
        <w:pStyle w:val="FirstParagraph"/>
      </w:pPr>
      <w:r>
        <w:rPr>
          <w:b/>
          <w:bCs/>
        </w:rPr>
        <w:t xml:space="preserve">Bullish read:</w:t>
      </w:r>
      <w:r>
        <w:t xml:space="preserve"> </w:t>
      </w:r>
      <w:r>
        <w:t xml:space="preserve">MBR and current-year utilization remain within expectations, prior-year development is not doing all the work, and Aetna’s 2026 operating-income outlook rises again.</w:t>
      </w:r>
    </w:p>
    <w:p>
      <w:pPr>
        <w:pStyle w:val="BodyText"/>
      </w:pPr>
      <w:r>
        <w:rPr>
          <w:b/>
          <w:bCs/>
        </w:rPr>
        <w:t xml:space="preserve">Bearish read:</w:t>
      </w:r>
      <w:r>
        <w:t xml:space="preserve"> </w:t>
      </w:r>
      <w:r>
        <w:t xml:space="preserve">a higher-than-expected MBR, more conservative reserve commentary, or evidence that pricing is lagging utilization—especially in Medicare Advantage.</w:t>
      </w:r>
    </w:p>
    <w:bookmarkEnd w:id="16"/>
    <w:bookmarkEnd w:id="17"/>
    <w:bookmarkStart w:id="18" w:name="X93251e9958728038b3628d0635e2a5372f4da4b"/>
    <w:p>
      <w:pPr>
        <w:pStyle w:val="Heading2"/>
      </w:pPr>
      <w:r>
        <w:t xml:space="preserve">Health Services: expect a timing reset, not necessarily deterioration</w:t>
      </w:r>
    </w:p>
    <w:p>
      <w:pPr>
        <w:pStyle w:val="FirstParagraph"/>
      </w:pPr>
      <w:r>
        <w:t xml:space="preserve">The Health Services segment—principally Caremark/PBM, specialty, pharmacy services, and care delivery—was the main soft spot in 1Q. Adjusted operating income fell</w:t>
      </w:r>
      <w:r>
        <w:t xml:space="preserve"> </w:t>
      </w:r>
      <w:r>
        <w:rPr>
          <w:b/>
          <w:bCs/>
        </w:rPr>
        <w:t xml:space="preserve">7.1%</w:t>
      </w:r>
      <w:r>
        <w:t xml:space="preserve"> </w:t>
      </w:r>
      <w:r>
        <w:t xml:space="preserve">year over year to</w:t>
      </w:r>
      <w:r>
        <w:t xml:space="preserve"> </w:t>
      </w:r>
      <w:r>
        <w:rPr>
          <w:b/>
          <w:bCs/>
        </w:rPr>
        <w:t xml:space="preserve">$1.49 billion</w:t>
      </w:r>
      <w:r>
        <w:t xml:space="preserve">, reflecting pharmacy-client price improvements. Management also said that 1Q contained</w:t>
      </w:r>
      <w:r>
        <w:t xml:space="preserve"> </w:t>
      </w:r>
      <w:r>
        <w:rPr>
          <w:b/>
          <w:bCs/>
        </w:rPr>
        <w:t xml:space="preserve">early recognition of value it had expected in 2Q</w:t>
      </w:r>
      <w:r>
        <w:t xml:space="preserve">, while underlying performance excluding that timing benefit modestly exceeded expectations. (</w:t>
      </w:r>
      <w:hyperlink r:id="rId14">
        <w:r>
          <w:rPr>
            <w:rStyle w:val="Hyperlink"/>
          </w:rPr>
          <w:t xml:space="preserve">cvshealth.com</w:t>
        </w:r>
      </w:hyperlink>
      <w:r>
        <w:t xml:space="preserve">)</w:t>
      </w:r>
    </w:p>
    <w:p>
      <w:pPr>
        <w:pStyle w:val="BodyText"/>
      </w:pPr>
      <w:r>
        <w:t xml:space="preserve">That makes 2Q inherently more difficult to read:</w:t>
      </w:r>
    </w:p>
    <w:p>
      <w:pPr>
        <w:pStyle w:val="Compact"/>
        <w:numPr>
          <w:ilvl w:val="0"/>
          <w:numId w:val="1003"/>
        </w:numPr>
      </w:pPr>
      <w:r>
        <w:t xml:space="preserve">A sequential or year-over-year step-down may be</w:t>
      </w:r>
      <w:r>
        <w:t xml:space="preserve"> </w:t>
      </w:r>
      <w:r>
        <w:rPr>
          <w:b/>
          <w:bCs/>
        </w:rPr>
        <w:t xml:space="preserve">expected timing</w:t>
      </w:r>
      <w:r>
        <w:t xml:space="preserve">, rather than a fundamental miss.</w:t>
      </w:r>
    </w:p>
    <w:p>
      <w:pPr>
        <w:pStyle w:val="Compact"/>
        <w:numPr>
          <w:ilvl w:val="0"/>
          <w:numId w:val="1003"/>
        </w:numPr>
      </w:pPr>
      <w:r>
        <w:t xml:space="preserve">The relevant question is whether CVS can</w:t>
      </w:r>
      <w:r>
        <w:t xml:space="preserve"> </w:t>
      </w:r>
      <w:r>
        <w:rPr>
          <w:b/>
          <w:bCs/>
        </w:rPr>
        <w:t xml:space="preserve">reaffirm its full-year Health Services outlook</w:t>
      </w:r>
      <w:r>
        <w:t xml:space="preserve"> </w:t>
      </w:r>
      <w:r>
        <w:t xml:space="preserve">while keeping rebate-guarantee pressure and client pricing concessions in check.</w:t>
      </w:r>
    </w:p>
    <w:p>
      <w:pPr>
        <w:pStyle w:val="Compact"/>
        <w:numPr>
          <w:ilvl w:val="0"/>
          <w:numId w:val="1003"/>
        </w:numPr>
      </w:pPr>
      <w:r>
        <w:t xml:space="preserve">Investors should listen for evidence of sustained purchasing economics, specialty-drug mix, biosimilar execution, and stable rebate-guarantee performance.</w:t>
      </w:r>
    </w:p>
    <w:p>
      <w:pPr>
        <w:pStyle w:val="FirstParagraph"/>
      </w:pPr>
      <w:r>
        <w:t xml:space="preserve">The regulatory backdrop also remains a valuation constraint. CVS continues to transition toward more transparent, net-cost PBM models, but state-level PBM rules and potential federal changes can pressure spreads, pharmacy reimbursement economics, and business-model complexity. CVS has said it has multiple pathways to its longer-term earnings targets, but 2Q commentary on the earnings impact and timing of regulatory change will matter.</w:t>
      </w:r>
    </w:p>
    <w:bookmarkEnd w:id="18"/>
    <w:bookmarkStart w:id="20" w:name="Xf2679b8fcd561268ad16c5d7ae94cc9741b7d08"/>
    <w:p>
      <w:pPr>
        <w:pStyle w:val="Heading2"/>
      </w:pPr>
      <w:r>
        <w:t xml:space="preserve">Pharmacy &amp; Consumer Wellness: volume is good; margin conversion is the issue</w:t>
      </w:r>
    </w:p>
    <w:p>
      <w:pPr>
        <w:pStyle w:val="FirstParagraph"/>
      </w:pPr>
      <w:r>
        <w:t xml:space="preserve">Retail pharmacy has real operational momentum, but its earnings profile remains constrained by reimbursement pressure and investment.</w:t>
      </w:r>
    </w:p>
    <w:p>
      <w:pPr>
        <w:pStyle w:val="BodyText"/>
      </w:pPr>
      <w:r>
        <w:t xml:space="preserve">In 1Q, Pharmacy &amp; Consumer Wellness prescription volume rose</w:t>
      </w:r>
      <w:r>
        <w:t xml:space="preserve"> </w:t>
      </w:r>
      <w:r>
        <w:rPr>
          <w:b/>
          <w:bCs/>
        </w:rPr>
        <w:t xml:space="preserve">6.8%</w:t>
      </w:r>
      <w:r>
        <w:t xml:space="preserve">, with contributions from Rite Aid prescription-file acquisitions and broader utilization. Yet adjusted operating income declined</w:t>
      </w:r>
      <w:r>
        <w:t xml:space="preserve"> </w:t>
      </w:r>
      <w:r>
        <w:rPr>
          <w:b/>
          <w:bCs/>
        </w:rPr>
        <w:t xml:space="preserve">8.8%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$1.20 billion</w:t>
      </w:r>
      <w:r>
        <w:t xml:space="preserve">, as reimbursement pressure, investments, weather disruption, and lower seasonal-illness contribution more than offset volume. CVS nevertheless raised its full-year segment adjusted operating-income outlook to</w:t>
      </w:r>
      <w:r>
        <w:t xml:space="preserve"> </w:t>
      </w:r>
      <w:r>
        <w:rPr>
          <w:b/>
          <w:bCs/>
        </w:rPr>
        <w:t xml:space="preserve">at least $6.18 billion</w:t>
      </w:r>
      <w:r>
        <w:t xml:space="preserve">. (</w:t>
      </w:r>
      <w:hyperlink r:id="rId14">
        <w:r>
          <w:rPr>
            <w:rStyle w:val="Hyperlink"/>
          </w:rPr>
          <w:t xml:space="preserve">cvshealth.com</w:t>
        </w:r>
      </w:hyperlink>
      <w:r>
        <w:t xml:space="preserve">)</w:t>
      </w:r>
    </w:p>
    <w:bookmarkStart w:id="19" w:name="X31f2b6b63455a30eb6291665a2eae726c0fea82"/>
    <w:p>
      <w:pPr>
        <w:pStyle w:val="Heading3"/>
      </w:pPr>
      <w:r>
        <w:t xml:space="preserve">2Q retail watch items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Prescription-volume growth:</w:t>
      </w:r>
      <w:r>
        <w:t xml:space="preserve"> </w:t>
      </w:r>
      <w:r>
        <w:t xml:space="preserve">Can CVS sustain elevated script growth, including transferred Rite Aid files?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Retail pharmacy margin:</w:t>
      </w:r>
      <w:r>
        <w:t xml:space="preserve"> </w:t>
      </w:r>
      <w:r>
        <w:t xml:space="preserve">Is CostVantage helping neutralize unfavorable branded-drug economics and GLP-1 mix?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Front-store trends:</w:t>
      </w:r>
      <w:r>
        <w:t xml:space="preserve"> </w:t>
      </w:r>
      <w:r>
        <w:t xml:space="preserve">This is less central to the thesis than pharmacy, but continued positive same-store front-store sales would support the case that CVS’s retail footprint is stabilizing.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GLP-1 execution:</w:t>
      </w:r>
      <w:r>
        <w:t xml:space="preserve"> </w:t>
      </w:r>
      <w:r>
        <w:t xml:space="preserve">CVS has emphasized both PBM cost management and direct-to-consumer retail access. The question is whether substantial GLP-1 volume can be profitable rather than merely revenue accretive.</w:t>
      </w:r>
    </w:p>
    <w:bookmarkEnd w:id="19"/>
    <w:bookmarkEnd w:id="20"/>
    <w:bookmarkStart w:id="21" w:name="X12eeaebe95eb24b8991aeaf55b90d5143634d85"/>
    <w:p>
      <w:pPr>
        <w:pStyle w:val="Heading2"/>
      </w:pPr>
      <w:r>
        <w:t xml:space="preserve">Guidance and cash flow will determine the market reaction</w:t>
      </w:r>
    </w:p>
    <w:p>
      <w:pPr>
        <w:pStyle w:val="FirstParagraph"/>
      </w:pPr>
      <w:r>
        <w:t xml:space="preserve">CVS’s 1Q guidance reset was meaningful: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2026 adjusted EPS:</w:t>
      </w:r>
      <w:r>
        <w:t xml:space="preserve"> </w:t>
      </w:r>
      <m:oMath>
        <m:r>
          <m:t>7.30</m:t>
        </m:r>
        <m:r>
          <m:rPr>
            <m:sty m:val="p"/>
          </m:rPr>
          <m:t>–</m:t>
        </m:r>
      </m:oMath>
      <w:r>
        <w:t xml:space="preserve">7.50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at least $405 billion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Operating cash flow:</w:t>
      </w:r>
      <w:r>
        <w:t xml:space="preserve"> </w:t>
      </w:r>
      <w:r>
        <w:t xml:space="preserve">at least $9.5 billion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Enterprise adjusted operating income:</w:t>
      </w:r>
      <w:r>
        <w:t xml:space="preserve"> </w:t>
      </w:r>
      <m:oMath>
        <m:r>
          <m:t>15.53</m:t>
        </m:r>
        <m:r>
          <m:rPr>
            <m:sty m:val="p"/>
          </m:rPr>
          <m:t>–</m:t>
        </m:r>
      </m:oMath>
      <w:r>
        <w:t xml:space="preserve">15.87 billion</w:t>
      </w:r>
    </w:p>
    <w:p>
      <w:pPr>
        <w:pStyle w:val="FirstParagraph"/>
      </w:pPr>
      <w:r>
        <w:t xml:space="preserve">The company ended 1Q with a leverage ratio of</w:t>
      </w:r>
      <w:r>
        <w:t xml:space="preserve"> </w:t>
      </w:r>
      <w:r>
        <w:rPr>
          <w:b/>
          <w:bCs/>
        </w:rPr>
        <w:t xml:space="preserve">3.84x</w:t>
      </w:r>
      <w:r>
        <w:t xml:space="preserve"> </w:t>
      </w:r>
      <w:r>
        <w:t xml:space="preserve">and stressed that share repurchases were</w:t>
      </w:r>
      <w:r>
        <w:t xml:space="preserve"> </w:t>
      </w:r>
      <w:r>
        <w:rPr>
          <w:b/>
          <w:bCs/>
        </w:rPr>
        <w:t xml:space="preserve">not embedded</w:t>
      </w:r>
      <w:r>
        <w:t xml:space="preserve"> </w:t>
      </w:r>
      <w:r>
        <w:t xml:space="preserve">in 2026 guidance; the priority remained balance-sheet improvement. (</w:t>
      </w:r>
      <w:hyperlink r:id="rId14">
        <w:r>
          <w:rPr>
            <w:rStyle w:val="Hyperlink"/>
          </w:rPr>
          <w:t xml:space="preserve">cvshealth.com</w:t>
        </w:r>
      </w:hyperlink>
      <w:r>
        <w:t xml:space="preserve">)</w:t>
      </w:r>
    </w:p>
    <w:p>
      <w:pPr>
        <w:pStyle w:val="BodyText"/>
      </w:pPr>
      <w:r>
        <w:t xml:space="preserve">For 2Q, investors should focus on: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 full-year guide raise</w:t>
      </w:r>
      <w:r>
        <w:t xml:space="preserve"> </w:t>
      </w:r>
      <w:r>
        <w:t xml:space="preserve">— the clearest upside catalyst, particularly if driven by core Aetna performance rather than favorable development.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 reaffirmation with more confidence in current-year medical costs</w:t>
      </w:r>
      <w:r>
        <w:t xml:space="preserve"> </w:t>
      </w:r>
      <w:r>
        <w:t xml:space="preserve">— likely constructive, even without a formal raise.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 guide reaffirmation paired with increased caution</w:t>
      </w:r>
      <w:r>
        <w:t xml:space="preserve"> </w:t>
      </w:r>
      <w:r>
        <w:t xml:space="preserve">— potentially disappointing given the stock’s strong run.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Cash-flow conversion and debt reduction</w:t>
      </w:r>
      <w:r>
        <w:t xml:space="preserve"> </w:t>
      </w:r>
      <w:r>
        <w:t xml:space="preserve">— important support for the equity story and eventual capital-return flexibility.</w:t>
      </w:r>
    </w:p>
    <w:bookmarkEnd w:id="21"/>
    <w:bookmarkStart w:id="25" w:name="potential-outcomes"/>
    <w:p>
      <w:pPr>
        <w:pStyle w:val="Heading2"/>
      </w:pPr>
      <w:r>
        <w:t xml:space="preserve">Potential outcomes</w:t>
      </w:r>
    </w:p>
    <w:bookmarkStart w:id="22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7"/>
        </w:numPr>
      </w:pPr>
      <w:r>
        <w:t xml:space="preserve">Adjusted EPS beats the roughly $1.85 consensus;</w:t>
      </w:r>
    </w:p>
    <w:p>
      <w:pPr>
        <w:pStyle w:val="Compact"/>
        <w:numPr>
          <w:ilvl w:val="0"/>
          <w:numId w:val="1007"/>
        </w:numPr>
      </w:pPr>
      <w:r>
        <w:t xml:space="preserve">Aetna MBR is favorable without excessive dependence on prior-year development;</w:t>
      </w:r>
    </w:p>
    <w:p>
      <w:pPr>
        <w:pStyle w:val="Compact"/>
        <w:numPr>
          <w:ilvl w:val="0"/>
          <w:numId w:val="1007"/>
        </w:numPr>
      </w:pPr>
      <w:r>
        <w:t xml:space="preserve">Health Services performs in line despite the 1Q pull-forward;</w:t>
      </w:r>
    </w:p>
    <w:p>
      <w:pPr>
        <w:pStyle w:val="Compact"/>
        <w:numPr>
          <w:ilvl w:val="0"/>
          <w:numId w:val="1007"/>
        </w:numPr>
      </w:pPr>
      <w:r>
        <w:t xml:space="preserve">Retail scripts remain strong and margin pressure eases; and</w:t>
      </w:r>
    </w:p>
    <w:p>
      <w:pPr>
        <w:pStyle w:val="Compact"/>
        <w:numPr>
          <w:ilvl w:val="0"/>
          <w:numId w:val="1007"/>
        </w:numPr>
      </w:pPr>
      <w:r>
        <w:t xml:space="preserve">CVS raises 2026 EPS, operating-income, or cash-flow guidance.</w:t>
      </w:r>
    </w:p>
    <w:bookmarkEnd w:id="22"/>
    <w:bookmarkStart w:id="23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8"/>
        </w:numPr>
      </w:pPr>
      <w:r>
        <w:t xml:space="preserve">EPS lands near consensus;</w:t>
      </w:r>
    </w:p>
    <w:p>
      <w:pPr>
        <w:pStyle w:val="Compact"/>
        <w:numPr>
          <w:ilvl w:val="0"/>
          <w:numId w:val="1008"/>
        </w:numPr>
      </w:pPr>
      <w:r>
        <w:t xml:space="preserve">Aetna remains on plan, but management keeps a prudent view of utilization;</w:t>
      </w:r>
    </w:p>
    <w:p>
      <w:pPr>
        <w:pStyle w:val="Compact"/>
        <w:numPr>
          <w:ilvl w:val="0"/>
          <w:numId w:val="1008"/>
        </w:numPr>
      </w:pPr>
      <w:r>
        <w:t xml:space="preserve">Health Services shows the expected timing normalization;</w:t>
      </w:r>
    </w:p>
    <w:p>
      <w:pPr>
        <w:pStyle w:val="Compact"/>
        <w:numPr>
          <w:ilvl w:val="0"/>
          <w:numId w:val="1008"/>
        </w:numPr>
      </w:pPr>
      <w:r>
        <w:t xml:space="preserve">CVS reiterates the</w:t>
      </w:r>
      <w:r>
        <w:t xml:space="preserve"> </w:t>
      </w:r>
      <m:oMath>
        <m:r>
          <m:t>7.30</m:t>
        </m:r>
        <m:r>
          <m:rPr>
            <m:sty m:val="p"/>
          </m:rPr>
          <m:t>–</m:t>
        </m:r>
      </m:oMath>
      <w:r>
        <w:t xml:space="preserve">7.50 adjusted EPS outlook.</w:t>
      </w:r>
    </w:p>
    <w:p>
      <w:pPr>
        <w:pStyle w:val="FirstParagraph"/>
      </w:pPr>
      <w:r>
        <w:t xml:space="preserve">This would support the turnaround thesis, although the stock reaction could be muted if investors had positioned for another guidance increase.</w:t>
      </w:r>
    </w:p>
    <w:bookmarkEnd w:id="23"/>
    <w:bookmarkStart w:id="24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9"/>
        </w:numPr>
      </w:pPr>
      <w:r>
        <w:t xml:space="preserve">Medical-cost trend or reserve commentary deteriorates;</w:t>
      </w:r>
    </w:p>
    <w:p>
      <w:pPr>
        <w:pStyle w:val="Compact"/>
        <w:numPr>
          <w:ilvl w:val="0"/>
          <w:numId w:val="1009"/>
        </w:numPr>
      </w:pPr>
      <w:r>
        <w:t xml:space="preserve">Aetna’s improvement appears disproportionately driven by favorable prior-year development;</w:t>
      </w:r>
    </w:p>
    <w:p>
      <w:pPr>
        <w:pStyle w:val="Compact"/>
        <w:numPr>
          <w:ilvl w:val="0"/>
          <w:numId w:val="1009"/>
        </w:numPr>
      </w:pPr>
      <w:r>
        <w:t xml:space="preserve">Health Services misses as the 1Q timing benefit reverses and PBM pricing/rebate pressure intensifies; or</w:t>
      </w:r>
    </w:p>
    <w:p>
      <w:pPr>
        <w:pStyle w:val="Compact"/>
        <w:numPr>
          <w:ilvl w:val="0"/>
          <w:numId w:val="1009"/>
        </w:numPr>
      </w:pPr>
      <w:r>
        <w:t xml:space="preserve">Management reiterates guidance but signals greater downside risk to the second half.</w: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CVS no longer needs to prove that the turnaround has started—it needs to prove that it is durable.</w:t>
      </w:r>
      <w:r>
        <w:t xml:space="preserve"> </w:t>
      </w:r>
      <w:r>
        <w:t xml:space="preserve">The most important 2Q datapoint is not headline EPS; it is the quality of Aetna’s margin recovery and whether management can preserve or improve its 2026 outlook while absorbing PBM and pharmacy reimbursement pressure.</w:t>
      </w:r>
    </w:p>
    <w:p>
      <w:pPr>
        <w:pStyle w:val="BodyText"/>
      </w:pPr>
      <w:r>
        <w:t xml:space="preserve">A clean 2Q would feature:</w:t>
      </w:r>
      <w:r>
        <w:t xml:space="preserve"> </w:t>
      </w:r>
      <w:r>
        <w:rPr>
          <w:b/>
          <w:bCs/>
        </w:rPr>
        <w:t xml:space="preserve">disciplined MBR performance, stable reserves, no surprise in Health Services after the 1Q timing pull-forward, continued pharmacy-volume strength, and confident guidance commentary.</w:t>
      </w:r>
      <w:r>
        <w:t xml:space="preserve"> </w:t>
      </w:r>
      <w:r>
        <w:t xml:space="preserve">If CVS delivers those elements, the company’s multiyear recovery narrative remains intact—though the share-price run means expectations are materially less forgiving than they were at the start of the year.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s.cvshealth.com/news/news-details/2026/CVS-Health-to-hold-second-quarter-2026-earnings-conference-call/default.aspx" TargetMode="External" /><Relationship Type="http://schemas.openxmlformats.org/officeDocument/2006/relationships/hyperlink" Id="rId15" Target="https://www.cvshealth.com/content/dam/enterprise/cvs-enterprise/pdfs/2025/Q2-2025-Earnings-Release.pdf?utm_source=openai" TargetMode="External" /><Relationship Type="http://schemas.openxmlformats.org/officeDocument/2006/relationships/hyperlink" Id="rId14" Target="https://www.cvshealth.com/content/dam/enterprise/cvs-enterprise/pdfs/2026/Q1-2026-EarningsRelease.pdf?utm_source=openai" TargetMode="External" /><Relationship Type="http://schemas.openxmlformats.org/officeDocument/2006/relationships/hyperlink" Id="rId12" Target="https://www.cvshealth.com/news/company-news/cvs-health-corporation-reports-strong-first-quarter-2026-results-and-raises-full-year-2026-guidance.html?utm_source=openai" TargetMode="External" /><Relationship Type="http://schemas.openxmlformats.org/officeDocument/2006/relationships/hyperlink" Id="rId10" Target="https://www.tipranks.com/stocks/cvs/earnin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s.cvshealth.com/news/news-details/2026/CVS-Health-to-hold-second-quarter-2026-earnings-conference-call/default.aspx" TargetMode="External" /><Relationship Type="http://schemas.openxmlformats.org/officeDocument/2006/relationships/hyperlink" Id="rId15" Target="https://www.cvshealth.com/content/dam/enterprise/cvs-enterprise/pdfs/2025/Q2-2025-Earnings-Release.pdf?utm_source=openai" TargetMode="External" /><Relationship Type="http://schemas.openxmlformats.org/officeDocument/2006/relationships/hyperlink" Id="rId14" Target="https://www.cvshealth.com/content/dam/enterprise/cvs-enterprise/pdfs/2026/Q1-2026-EarningsRelease.pdf?utm_source=openai" TargetMode="External" /><Relationship Type="http://schemas.openxmlformats.org/officeDocument/2006/relationships/hyperlink" Id="rId12" Target="https://www.cvshealth.com/news/company-news/cvs-health-corporation-reports-strong-first-quarter-2026-results-and-raises-full-year-2026-guidance.html?utm_source=openai" TargetMode="External" /><Relationship Type="http://schemas.openxmlformats.org/officeDocument/2006/relationships/hyperlink" Id="rId10" Target="https://www.tipranks.com/stocks/cvs/earnin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2026-08-05T00:11:07Z</dcterms:created>
  <dcterms:modified xsi:type="dcterms:W3CDTF">2026-08-05T00:11:07Z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