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DoorDash (DASH) to build an informed earnings preview. Let me start by gathering recent filings, transcripts, and market data.I'll dig into the Q1 2026 results, the earnings release, and recent news/context in parallel.Let me gather stock price performance and recent news context to round out the preview.I now have what I need. Let me quickly verify a couple of calculations before writing.Here is the earnings preview.</w:t>
      </w:r>
    </w:p>
    <w:p>
      <w:r>
        <w:pict>
          <v:rect style="width:0;height:1.5pt" o:hralign="center" o:hrstd="t" o:hr="t"/>
        </w:pict>
      </w:r>
    </w:p>
    <w:bookmarkStart w:id="15" w:name="doordash-dash--q2-2026-earnings-preview"/>
    <w:p>
      <w:pPr>
        <w:pStyle w:val="Heading1"/>
      </w:pPr>
      <w:r>
        <w:t xml:space="preserve">DoorDash (DASH) —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Event:</w:t>
      </w:r>
      <w:r>
        <w:t xml:space="preserve"> </w:t>
      </w:r>
      <w:r>
        <w:t xml:space="preserve">2026 Q2 Earnings Call</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DoorDash enters this print in "prove the investment year is worth it" mode. The top line is roaring — helped enormously by the Deliveroo acquisition — but 2026 is a deliberately heavy spending year (global tech replatforming, a Dasher gas-relief program, new-vertical build-out, and now an in-house drone/AV effort). The stock reflects that tension: at</w:t>
      </w:r>
      <w:r>
        <w:t xml:space="preserve"> </w:t>
      </w:r>
      <m:oMath>
        <m:r>
          <m:t>202.41</m:t>
        </m:r>
        <m:r>
          <m:rPr>
            <m:sty m:val="p"/>
          </m:rPr>
          <m:t>(</m:t>
        </m:r>
        <m:r>
          <m:t>8</m:t>
        </m:r>
        <m:r>
          <m:rPr>
            <m:sty m:val="p"/>
          </m:rPr>
          <m:t>/</m:t>
        </m:r>
        <m:r>
          <m:t>4</m:t>
        </m:r>
        <m:r>
          <m:rPr>
            <m:sty m:val="p"/>
          </m:rPr>
          <m:t>)</m:t>
        </m:r>
        <m:r>
          <m:rPr>
            <m:sty m:val="p"/>
          </m:rPr>
          <m:t>*</m:t>
        </m:r>
        <m:r>
          <m:rPr>
            <m:sty m:val="p"/>
          </m:rPr>
          <m:t>*</m:t>
        </m:r>
        <m:r>
          <m:rPr>
            <m:sty m:val="p"/>
          </m:rPr>
          <m:t>,</m:t>
        </m:r>
        <m:r>
          <m:t>D</m:t>
        </m:r>
        <m:r>
          <m:t>A</m:t>
        </m:r>
        <m:r>
          <m:t>S</m:t>
        </m:r>
        <m:r>
          <m:t>H</m:t>
        </m:r>
        <m:r>
          <m:t>i</m:t>
        </m:r>
        <m:r>
          <m:t>s</m:t>
        </m:r>
        <m:r>
          <m:rPr>
            <m:sty m:val="p"/>
          </m:rPr>
          <m:t>*</m:t>
        </m:r>
        <m:r>
          <m:rPr>
            <m:sty m:val="p"/>
          </m:rPr>
          <m:t>*</m:t>
        </m:r>
        <m:r>
          <m:t>d</m:t>
        </m:r>
        <m:r>
          <m:t>o</m:t>
        </m:r>
        <m:r>
          <m:t>w</m:t>
        </m:r>
        <m:r>
          <m:t>n</m:t>
        </m:r>
        <m:r>
          <m:t> </m:t>
        </m:r>
        <m:r>
          <m:t>18</m:t>
        </m:r>
      </m:oMath>
      <w:r>
        <w:rPr>
          <w:b/>
          <w:bCs/>
        </w:rPr>
        <w:t xml:space="preserve">282</w:t>
      </w:r>
      <w:r>
        <w:t xml:space="preserve">, but has</w:t>
      </w:r>
      <w:r>
        <w:t xml:space="preserve"> </w:t>
      </w:r>
      <w:r>
        <w:rPr>
          <w:b/>
          <w:bCs/>
        </w:rPr>
        <w:t xml:space="preserve">rallied ~38% off its March 2026 trough near $147</w:t>
      </w:r>
      <w:r>
        <w:t xml:space="preserve">. The debate on 8/5 is simple: does accelerating GOV and record engagement outweigh the visible margin drag investors have been fretting about?</w:t>
      </w:r>
    </w:p>
    <w:p>
      <w:r>
        <w:pict>
          <v:rect style="width:0;height:1.5pt" o:hralign="center" o:hrstd="t" o:hr="t"/>
        </w:pict>
      </w:r>
    </w:p>
    <w:bookmarkEnd w:id="9"/>
    <w:bookmarkStart w:id="10" w:name="Xc9cbac7534d6c9b17a48b4a85145df28d61ea8f"/>
    <w:p>
      <w:pPr>
        <w:pStyle w:val="Heading2"/>
      </w:pPr>
      <w:r>
        <w:t xml:space="preserve">What the company guided to (from Q1 2026 results, reported May 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Y/Y vs Q2'25</w:t>
            </w:r>
          </w:p>
        </w:tc>
      </w:tr>
      <w:tr>
        <w:tc>
          <w:tcPr/>
          <w:p>
            <w:pPr>
              <w:pStyle w:val="Compact"/>
            </w:pPr>
            <w:r>
              <w:t xml:space="preserve">Marketplace GOV</w:t>
            </w:r>
          </w:p>
        </w:tc>
        <w:tc>
          <w:tcPr/>
          <w:p>
            <w:pPr>
              <w:pStyle w:val="Compact"/>
            </w:pPr>
            <w:r>
              <w:rPr>
                <w:b/>
                <w:bCs/>
              </w:rPr>
              <w:t xml:space="preserve">$32.4B – $33.4B</w:t>
            </w:r>
          </w:p>
        </w:tc>
        <w:tc>
          <w:tcPr/>
          <w:p>
            <w:pPr>
              <w:pStyle w:val="Compact"/>
            </w:pPr>
            <w:r>
              <w:t xml:space="preserve">+33.6% to +37.8% (mid ~+35.7%)</w:t>
            </w:r>
          </w:p>
        </w:tc>
      </w:tr>
      <w:tr>
        <w:tc>
          <w:tcPr/>
          <w:p>
            <w:pPr>
              <w:pStyle w:val="Compact"/>
            </w:pPr>
            <w:r>
              <w:t xml:space="preserve">Adjusted EBITDA</w:t>
            </w:r>
          </w:p>
        </w:tc>
        <w:tc>
          <w:tcPr/>
          <w:p>
            <w:pPr>
              <w:pStyle w:val="Compact"/>
            </w:pPr>
            <w:r>
              <w:rPr>
                <w:b/>
                <w:bCs/>
              </w:rPr>
              <w:t xml:space="preserve">$770M – $870M</w:t>
            </w:r>
          </w:p>
        </w:tc>
        <w:tc>
          <w:tcPr/>
          <w:p>
            <w:pPr>
              <w:pStyle w:val="Compact"/>
            </w:pPr>
            <w:r>
              <w:t xml:space="preserve">+17.6% to +32.8% (mid ~+25%)</w:t>
            </w:r>
          </w:p>
        </w:tc>
      </w:tr>
    </w:tbl>
    <w:p>
      <w:pPr>
        <w:pStyle w:val="Compact"/>
        <w:numPr>
          <w:ilvl w:val="0"/>
          <w:numId w:val="1001"/>
        </w:numPr>
      </w:pPr>
      <w:r>
        <w:t xml:space="preserve">Implied Adj. EBITDA margin at the midpoint is</w:t>
      </w:r>
      <w:r>
        <w:t xml:space="preserve"> </w:t>
      </w:r>
      <w:r>
        <w:rPr>
          <w:b/>
          <w:bCs/>
        </w:rPr>
        <w:t xml:space="preserve">~2.5% of GOV</w:t>
      </w:r>
      <w:r>
        <w:t xml:space="preserve">, roughly flat vs. Q1'26 (2.4%) but</w:t>
      </w:r>
      <w:r>
        <w:t xml:space="preserve"> </w:t>
      </w:r>
      <w:r>
        <w:rPr>
          <w:b/>
          <w:bCs/>
        </w:rPr>
        <w:t xml:space="preserve">below the 2.7%</w:t>
      </w:r>
      <w:r>
        <w:t xml:space="preserve"> </w:t>
      </w:r>
      <w:r>
        <w:t xml:space="preserve">DoorDash posted in Q2'25 — the crux of the margin worry.</w:t>
      </w:r>
    </w:p>
    <w:p>
      <w:pPr>
        <w:pStyle w:val="Compact"/>
        <w:numPr>
          <w:ilvl w:val="0"/>
          <w:numId w:val="1001"/>
        </w:numPr>
      </w:pPr>
      <w:r>
        <w:rPr>
          <w:b/>
          <w:bCs/>
        </w:rPr>
        <w:t xml:space="preserve">Street looks for revenue ~$4.33B (+~32% Y/Y).</w:t>
      </w:r>
      <w:r>
        <w:t xml:space="preserve"> </w:t>
      </w:r>
      <w:r>
        <w:t xml:space="preserve">Sentiment into the print is described as</w:t>
      </w:r>
      <w:r>
        <w:t xml:space="preserve"> </w:t>
      </w:r>
      <w:r>
        <w:rPr>
          <w:b/>
          <w:bCs/>
        </w:rPr>
        <w:t xml:space="preserve">bullish on the top line and confident in execution, but anxious about margin pressure</w:t>
      </w:r>
      <w:r>
        <w:t xml:space="preserve"> </w:t>
      </w:r>
      <w:r>
        <w:t xml:space="preserve">from elevated spending and possible consumer softness.</w:t>
      </w:r>
    </w:p>
    <w:p>
      <w:pPr>
        <w:pStyle w:val="Compact"/>
        <w:numPr>
          <w:ilvl w:val="0"/>
          <w:numId w:val="1001"/>
        </w:numPr>
      </w:pPr>
      <w:r>
        <w:t xml:space="preserve">Full-year framework management has repeatedly reaffirmed:</w:t>
      </w:r>
      <w:r>
        <w:t xml:space="preserve"> </w:t>
      </w:r>
      <w:r>
        <w:rPr>
          <w:b/>
          <w:bCs/>
        </w:rPr>
        <w:t xml:space="preserve">2026 Adj. EBITDA margin (ex-Deliveroo) slightly above 2025</w:t>
      </w:r>
      <w:r>
        <w:t xml:space="preserve">, with</w:t>
      </w:r>
      <w:r>
        <w:t xml:space="preserve"> </w:t>
      </w:r>
      <w:r>
        <w:rPr>
          <w:b/>
          <w:bCs/>
        </w:rPr>
        <w:t xml:space="preserve">Deliveroo contributing ~$200M</w:t>
      </w:r>
      <w:r>
        <w:t xml:space="preserve"> </w:t>
      </w:r>
      <w:r>
        <w:t xml:space="preserve">to 2026 Adj. EBITDA.</w:t>
      </w:r>
    </w:p>
    <w:p>
      <w:r>
        <w:pict>
          <v:rect style="width:0;height:1.5pt" o:hralign="center" o:hrstd="t" o:hr="t"/>
        </w:pict>
      </w:r>
    </w:p>
    <w:bookmarkEnd w:id="10"/>
    <w:bookmarkStart w:id="11" w:name="Xae086374a4d9f932d665976c256c3e29a8f51b8"/>
    <w:p>
      <w:pPr>
        <w:pStyle w:val="Heading2"/>
      </w:pPr>
      <w:r>
        <w:t xml:space="preserve">Where Q1 2026 left off (the momentum backdrop)</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Q1'26</w:t>
            </w:r>
          </w:p>
        </w:tc>
        <w:tc>
          <w:tcPr/>
          <w:p>
            <w:pPr>
              <w:pStyle w:val="Compact"/>
            </w:pPr>
            <w:r>
              <w:t xml:space="preserve">Y/Y</w:t>
            </w:r>
          </w:p>
        </w:tc>
        <w:tc>
          <w:tcPr/>
          <w:p>
            <w:pPr>
              <w:pStyle w:val="Compact"/>
            </w:pPr>
            <w:r>
              <w:t xml:space="preserve">Ex-Deliveroo Y/Y</w:t>
            </w:r>
          </w:p>
        </w:tc>
      </w:tr>
      <w:tr>
        <w:tc>
          <w:tcPr/>
          <w:p>
            <w:pPr>
              <w:pStyle w:val="Compact"/>
            </w:pPr>
            <w:r>
              <w:t xml:space="preserve">Total Orders</w:t>
            </w:r>
          </w:p>
        </w:tc>
        <w:tc>
          <w:tcPr/>
          <w:p>
            <w:pPr>
              <w:pStyle w:val="Compact"/>
            </w:pPr>
            <w:r>
              <w:t xml:space="preserve">933M</w:t>
            </w:r>
          </w:p>
        </w:tc>
        <w:tc>
          <w:tcPr/>
          <w:p>
            <w:pPr>
              <w:pStyle w:val="Compact"/>
            </w:pPr>
            <w:r>
              <w:t xml:space="preserve">+27%</w:t>
            </w:r>
          </w:p>
        </w:tc>
        <w:tc>
          <w:tcPr/>
          <w:p>
            <w:pPr>
              <w:pStyle w:val="Compact"/>
            </w:pPr>
            <w:r>
              <w:t xml:space="preserve">+16%</w:t>
            </w:r>
          </w:p>
        </w:tc>
      </w:tr>
      <w:tr>
        <w:tc>
          <w:tcPr/>
          <w:p>
            <w:pPr>
              <w:pStyle w:val="Compact"/>
            </w:pPr>
            <w:r>
              <w:t xml:space="preserve">Marketplace GOV</w:t>
            </w:r>
          </w:p>
        </w:tc>
        <w:tc>
          <w:tcPr/>
          <w:p>
            <w:pPr>
              <w:pStyle w:val="Compact"/>
            </w:pPr>
            <w:r>
              <w:t xml:space="preserve">$31.6B</w:t>
            </w:r>
          </w:p>
        </w:tc>
        <w:tc>
          <w:tcPr/>
          <w:p>
            <w:pPr>
              <w:pStyle w:val="Compact"/>
            </w:pPr>
            <w:r>
              <w:t xml:space="preserve">+37%</w:t>
            </w:r>
          </w:p>
        </w:tc>
        <w:tc>
          <w:tcPr/>
          <w:p>
            <w:pPr>
              <w:pStyle w:val="Compact"/>
            </w:pPr>
            <w:r>
              <w:t xml:space="preserve">+24%</w:t>
            </w:r>
          </w:p>
        </w:tc>
      </w:tr>
      <w:tr>
        <w:tc>
          <w:tcPr/>
          <w:p>
            <w:pPr>
              <w:pStyle w:val="Compact"/>
            </w:pPr>
            <w:r>
              <w:t xml:space="preserve">Revenue</w:t>
            </w:r>
          </w:p>
        </w:tc>
        <w:tc>
          <w:tcPr/>
          <w:p>
            <w:pPr>
              <w:pStyle w:val="Compact"/>
            </w:pPr>
            <w:r>
              <w:t xml:space="preserve">$4.04B</w:t>
            </w:r>
          </w:p>
        </w:tc>
        <w:tc>
          <w:tcPr/>
          <w:p>
            <w:pPr>
              <w:pStyle w:val="Compact"/>
            </w:pPr>
            <w:r>
              <w:t xml:space="preserve">+33%</w:t>
            </w:r>
          </w:p>
        </w:tc>
        <w:tc>
          <w:tcPr/>
          <w:p>
            <w:pPr>
              <w:pStyle w:val="Compact"/>
            </w:pPr>
            <w:r>
              <w:t xml:space="preserve">+21%</w:t>
            </w:r>
          </w:p>
        </w:tc>
      </w:tr>
      <w:tr>
        <w:tc>
          <w:tcPr/>
          <w:p>
            <w:pPr>
              <w:pStyle w:val="Compact"/>
            </w:pPr>
            <w:r>
              <w:t xml:space="preserve">Adj. EBITDA</w:t>
            </w:r>
          </w:p>
        </w:tc>
        <w:tc>
          <w:tcPr/>
          <w:p>
            <w:pPr>
              <w:pStyle w:val="Compact"/>
            </w:pPr>
            <w:r>
              <w:t xml:space="preserve">$754M</w:t>
            </w:r>
          </w:p>
        </w:tc>
        <w:tc>
          <w:tcPr/>
          <w:p>
            <w:pPr>
              <w:pStyle w:val="Compact"/>
            </w:pPr>
            <w:r>
              <w:t xml:space="preserve">+28%</w:t>
            </w:r>
          </w:p>
        </w:tc>
        <w:tc>
          <w:tcPr/>
          <w:p>
            <w:pPr>
              <w:pStyle w:val="Compact"/>
            </w:pPr>
            <w:r>
              <w:t xml:space="preserve">—</w:t>
            </w:r>
          </w:p>
        </w:tc>
      </w:tr>
      <w:tr>
        <w:tc>
          <w:tcPr/>
          <w:p>
            <w:pPr>
              <w:pStyle w:val="Compact"/>
            </w:pPr>
            <w:r>
              <w:t xml:space="preserve">GAAP net income</w:t>
            </w:r>
          </w:p>
        </w:tc>
        <w:tc>
          <w:tcPr/>
          <w:p>
            <w:pPr>
              <w:pStyle w:val="Compact"/>
            </w:pPr>
            <w:r>
              <w:t xml:space="preserve">$184M</w:t>
            </w:r>
          </w:p>
        </w:tc>
        <w:tc>
          <w:tcPr/>
          <w:p>
            <w:pPr>
              <w:pStyle w:val="Compact"/>
            </w:pPr>
            <w:r>
              <w:rPr>
                <w:b/>
                <w:bCs/>
              </w:rPr>
              <w:t xml:space="preserve">–5%</w:t>
            </w:r>
          </w:p>
        </w:tc>
        <w:tc>
          <w:tcPr/>
          <w:p>
            <w:pPr>
              <w:pStyle w:val="Compact"/>
            </w:pPr>
            <w:r>
              <w:t xml:space="preserve">—</w:t>
            </w:r>
          </w:p>
        </w:tc>
      </w:tr>
      <w:tr>
        <w:tc>
          <w:tcPr/>
          <w:p>
            <w:pPr>
              <w:pStyle w:val="Compact"/>
            </w:pPr>
            <w:r>
              <w:t xml:space="preserve">Net revenue margin</w:t>
            </w:r>
          </w:p>
        </w:tc>
        <w:tc>
          <w:tcPr/>
          <w:p>
            <w:pPr>
              <w:pStyle w:val="Compact"/>
            </w:pPr>
            <w:r>
              <w:t xml:space="preserve">12.8%</w:t>
            </w:r>
          </w:p>
        </w:tc>
        <w:tc>
          <w:tcPr/>
          <w:p>
            <w:pPr>
              <w:pStyle w:val="Compact"/>
            </w:pPr>
            <w:r>
              <w:t xml:space="preserve">–30bps</w:t>
            </w:r>
          </w:p>
        </w:tc>
        <w:tc>
          <w:tcPr/>
          <w:p>
            <w:pPr>
              <w:pStyle w:val="Compact"/>
            </w:pPr>
            <w:r>
              <w:t xml:space="preserve">—</w:t>
            </w:r>
          </w:p>
        </w:tc>
      </w:tr>
      <w:tr>
        <w:tc>
          <w:tcPr/>
          <w:p>
            <w:pPr>
              <w:pStyle w:val="Compact"/>
            </w:pPr>
            <w:r>
              <w:t xml:space="preserve">Free cash flow (Q)</w:t>
            </w:r>
          </w:p>
        </w:tc>
        <w:tc>
          <w:tcPr/>
          <w:p>
            <w:pPr>
              <w:pStyle w:val="Compact"/>
            </w:pPr>
            <w:r>
              <w:t xml:space="preserve">$420M</w:t>
            </w:r>
          </w:p>
        </w:tc>
        <w:tc>
          <w:tcPr/>
          <w:p>
            <w:pPr>
              <w:pStyle w:val="Compact"/>
            </w:pPr>
            <w:r>
              <w:t xml:space="preserve">–15%</w:t>
            </w:r>
          </w:p>
        </w:tc>
        <w:tc>
          <w:tcPr/>
          <w:p>
            <w:pPr>
              <w:pStyle w:val="Compact"/>
            </w:pPr>
            <w:r>
              <w:t xml:space="preserve">—</w:t>
            </w:r>
          </w:p>
        </w:tc>
      </w:tr>
    </w:tbl>
    <w:p>
      <w:pPr>
        <w:pStyle w:val="BodyText"/>
      </w:pPr>
      <w:r>
        <w:t xml:space="preserve">Two things stand out: (1) headline growth is heavily flattered by Deliveroo (GOV growth halves to +24% ex-deal), and (2) despite record revenue,</w:t>
      </w:r>
      <w:r>
        <w:t xml:space="preserve"> </w:t>
      </w:r>
      <w:r>
        <w:rPr>
          <w:b/>
          <w:bCs/>
        </w:rPr>
        <w:t xml:space="preserve">GAAP net income fell Y/Y</w:t>
      </w:r>
      <w:r>
        <w:t xml:space="preserve"> </w:t>
      </w:r>
      <w:r>
        <w:t xml:space="preserve">and</w:t>
      </w:r>
      <w:r>
        <w:t xml:space="preserve"> </w:t>
      </w:r>
      <w:r>
        <w:rPr>
          <w:b/>
          <w:bCs/>
        </w:rPr>
        <w:t xml:space="preserve">net revenue margin compressed to 12.8%</w:t>
      </w:r>
      <w:r>
        <w:t xml:space="preserve"> </w:t>
      </w:r>
      <w:r>
        <w:t xml:space="preserve">— Deliveroo is dilutive to margin, and heavier D&amp;A (now ~</w:t>
      </w:r>
      <m:oMath>
        <m:r>
          <m:t>269</m:t>
        </m:r>
        <m:r>
          <m:t>M</m:t>
        </m:r>
        <m:r>
          <m:rPr>
            <m:sty m:val="p"/>
          </m:rPr>
          <m:t>/</m:t>
        </m:r>
        <m:r>
          <m:t>q</m:t>
        </m:r>
        <m:r>
          <m:t>t</m:t>
        </m:r>
        <m:r>
          <m:t>r</m:t>
        </m:r>
        <m:r>
          <m:rPr>
            <m:sty m:val="p"/>
          </m:rPr>
          <m:t>,</m:t>
        </m:r>
        <m:r>
          <m:t>i</m:t>
        </m:r>
        <m:r>
          <m:t>n</m:t>
        </m:r>
        <m:r>
          <m:t>c</m:t>
        </m:r>
        <m:r>
          <m:t>l</m:t>
        </m:r>
        <m:r>
          <m:t>u</m:t>
        </m:r>
        <m:r>
          <m:t>d</m:t>
        </m:r>
        <m:r>
          <m:t>i</m:t>
        </m:r>
        <m:r>
          <m:t>n</m:t>
        </m:r>
        <m:r>
          <m:t>g</m:t>
        </m:r>
        <m:r>
          <m:t> </m:t>
        </m:r>
      </m:oMath>
      <w:r>
        <w:t xml:space="preserve">450M/yr of acquired-intangible amortization) plus restructuring are weighing on the bottom line.</w:t>
      </w:r>
    </w:p>
    <w:p>
      <w:r>
        <w:pict>
          <v:rect style="width:0;height:1.5pt" o:hralign="center" o:hrstd="t" o:hr="t"/>
        </w:pict>
      </w:r>
    </w:p>
    <w:bookmarkEnd w:id="11"/>
    <w:bookmarkStart w:id="12" w:name="X09e22eaf638998e1f773da21be07718812e2800"/>
    <w:p>
      <w:pPr>
        <w:pStyle w:val="Heading2"/>
      </w:pPr>
      <w:r>
        <w:t xml:space="preserve">The 6 things that matter most on this call</w:t>
      </w:r>
    </w:p>
    <w:p>
      <w:pPr>
        <w:pStyle w:val="FirstParagraph"/>
      </w:pPr>
      <w:r>
        <w:rPr>
          <w:b/>
          <w:bCs/>
        </w:rPr>
        <w:t xml:space="preserve">1. Is U.S. restaurant re-accelerating or decelerating?</w:t>
      </w:r>
      <w:r>
        <w:t xml:space="preserve"> </w:t>
      </w:r>
      <w:r>
        <w:t xml:space="preserve">This is the cleanest read on core health. In Q1, U.S. restaurant GOV growth was above the 16-quarter average but</w:t>
      </w:r>
      <w:r>
        <w:t xml:space="preserve"> </w:t>
      </w:r>
      <w:r>
        <w:rPr>
          <w:b/>
          <w:bCs/>
        </w:rPr>
        <w:t xml:space="preserve">decelerated vs. Q4'25</w:t>
      </w:r>
      <w:r>
        <w:t xml:space="preserve">, and management flagged ~1pt of winter-storm drag. With no weather excuse in Q2, investors want to see the core stabilize/re-accelerate. Watch MAUs (record in Q1), order frequency, and mature-cohort order rates.</w:t>
      </w:r>
    </w:p>
    <w:p>
      <w:pPr>
        <w:pStyle w:val="BodyText"/>
      </w:pPr>
      <w:r>
        <w:rPr>
          <w:b/>
          <w:bCs/>
        </w:rPr>
        <w:t xml:space="preserve">2. The gas-relief program and margin optics.</w:t>
      </w:r>
      <w:r>
        <w:t xml:space="preserve"> </w:t>
      </w:r>
      <w:r>
        <w:t xml:space="preserve">Management guided</w:t>
      </w:r>
      <w:r>
        <w:t xml:space="preserve"> </w:t>
      </w:r>
      <w:r>
        <w:rPr>
          <w:b/>
          <w:bCs/>
        </w:rPr>
        <w:t xml:space="preserve">&gt;$50M of gross cost in Q2</w:t>
      </w:r>
      <w:r>
        <w:t xml:space="preserve"> </w:t>
      </w:r>
      <w:r>
        <w:t xml:space="preserve">for the Dasher gas-relief program, to be</w:t>
      </w:r>
      <w:r>
        <w:t xml:space="preserve"> </w:t>
      </w:r>
      <w:r>
        <w:rPr>
          <w:b/>
          <w:bCs/>
        </w:rPr>
        <w:t xml:space="preserve">partially funded by pulling forward/deferring other investments into H2</w:t>
      </w:r>
      <w:r>
        <w:t xml:space="preserve">. Key questions: was the program extended, is $50M/quarter the run-rate, and does it hold the line on the reaffirmed full-year EBITDA framework? Management insisted H2 EBITDA dollars and margin should exceed H1.</w:t>
      </w:r>
    </w:p>
    <w:p>
      <w:pPr>
        <w:pStyle w:val="BodyText"/>
      </w:pPr>
      <w:r>
        <w:rPr>
          <w:b/>
          <w:bCs/>
        </w:rPr>
        <w:t xml:space="preserve">3. Global tech replatforming — cost peak and early benefits.</w:t>
      </w:r>
      <w:r>
        <w:t xml:space="preserve"> </w:t>
      </w:r>
      <w:r>
        <w:t xml:space="preserve">DoorDash is running</w:t>
      </w:r>
      <w:r>
        <w:t xml:space="preserve"> </w:t>
      </w:r>
      <w:r>
        <w:rPr>
          <w:b/>
          <w:bCs/>
        </w:rPr>
        <w:t xml:space="preserve">all three brands' tech stacks in parallel</w:t>
      </w:r>
      <w:r>
        <w:t xml:space="preserve"> </w:t>
      </w:r>
      <w:r>
        <w:t xml:space="preserve">(DoorDash, Wolt, Deliveroo) while building one global platform. Redundant costs run through most of 2026 and</w:t>
      </w:r>
      <w:r>
        <w:t xml:space="preserve"> </w:t>
      </w:r>
      <w:r>
        <w:rPr>
          <w:b/>
          <w:bCs/>
        </w:rPr>
        <w:t xml:space="preserve">bleed into early 2027</w:t>
      </w:r>
      <w:r>
        <w:t xml:space="preserve">. Management says live production traffic is ramping and it's already seeing velocity/quality wins. Look for confirmation the cost quantum is unchanged and evidence the payoff (faster feature velocity → frequency/retention/unit economics) is real.</w:t>
      </w:r>
    </w:p>
    <w:p>
      <w:pPr>
        <w:pStyle w:val="BodyText"/>
      </w:pPr>
      <w:r>
        <w:rPr>
          <w:b/>
          <w:bCs/>
        </w:rPr>
        <w:t xml:space="preserve">4. New verticals (grocery + retail) hitting gross-profit-positive in H2.</w:t>
      </w:r>
      <w:r>
        <w:t xml:space="preserve"> </w:t>
      </w:r>
      <w:r>
        <w:t xml:space="preserve">Management guided the</w:t>
      </w:r>
      <w:r>
        <w:t xml:space="preserve"> </w:t>
      </w:r>
      <w:r>
        <w:rPr>
          <w:b/>
          <w:bCs/>
        </w:rPr>
        <w:t xml:space="preserve">new-vertical portfolio to gross-profit positive in H2 2026</w:t>
      </w:r>
      <w:r>
        <w:t xml:space="preserve">. DoorDash is the volume share leader in grocery, is capturing ~1 in 2 new grocery-delivery customers, and is scaling DashMart Fulfillment Services. Any data point on grocery profitability inflection and ad monetization is a positive catalyst.</w:t>
      </w:r>
    </w:p>
    <w:p>
      <w:pPr>
        <w:pStyle w:val="BodyText"/>
      </w:pPr>
      <w:r>
        <w:rPr>
          <w:b/>
          <w:bCs/>
        </w:rPr>
        <w:t xml:space="preserve">5. Advertising and DashPass — the margin offsets.</w:t>
      </w:r>
      <w:r>
        <w:t xml:space="preserve"> </w:t>
      </w:r>
      <w:r>
        <w:t xml:space="preserve">Ads are at "record highs" (CPG traction is the key unlock), and DashPass/Wolt+/Deliveroo Plus member growth accelerated with record signups. These are the levers management uses to fund investment; watch for any quantification.</w:t>
      </w:r>
    </w:p>
    <w:p>
      <w:pPr>
        <w:pStyle w:val="BodyText"/>
      </w:pPr>
      <w:r>
        <w:rPr>
          <w:b/>
          <w:bCs/>
        </w:rPr>
        <w:t xml:space="preserve">6. Deliveroo integration proof points.</w:t>
      </w:r>
      <w:r>
        <w:t xml:space="preserve"> </w:t>
      </w:r>
      <w:r>
        <w:t xml:space="preserve">Deliveroo added ~</w:t>
      </w:r>
      <m:oMath>
        <m:r>
          <m:t>362</m:t>
        </m:r>
        <m:r>
          <m:t>M</m:t>
        </m:r>
        <m:r>
          <m:t>o</m:t>
        </m:r>
        <m:r>
          <m:t>f</m:t>
        </m:r>
        <m:r>
          <m:t>r</m:t>
        </m:r>
        <m:r>
          <m:t>e</m:t>
        </m:r>
        <m:r>
          <m:t>v</m:t>
        </m:r>
        <m:r>
          <m:t>e</m:t>
        </m:r>
        <m:r>
          <m:t>n</m:t>
        </m:r>
        <m:r>
          <m:t>u</m:t>
        </m:r>
        <m:r>
          <m:t>e</m:t>
        </m:r>
        <m:r>
          <m:t>i</m:t>
        </m:r>
        <m:r>
          <m:t>n</m:t>
        </m:r>
        <m:r>
          <m:t>Q</m:t>
        </m:r>
        <m:r>
          <m:t>1</m:t>
        </m:r>
        <m:r>
          <m:t>a</m:t>
        </m:r>
        <m:r>
          <m:t>n</m:t>
        </m:r>
        <m:r>
          <m:t>d</m:t>
        </m:r>
        <m:r>
          <m:t>d</m:t>
        </m:r>
        <m:r>
          <m:t>r</m:t>
        </m:r>
        <m:r>
          <m:t>o</m:t>
        </m:r>
        <m:r>
          <m:t>v</m:t>
        </m:r>
        <m:r>
          <m:t>e</m:t>
        </m:r>
        <m:r>
          <m:t>a</m:t>
        </m:r>
        <m:r>
          <m:t>c</m:t>
        </m:r>
        <m:r>
          <m:t>c</m:t>
        </m:r>
        <m:r>
          <m:t>e</m:t>
        </m:r>
        <m:r>
          <m:t>l</m:t>
        </m:r>
        <m:r>
          <m:t>e</m:t>
        </m:r>
        <m:r>
          <m:t>r</m:t>
        </m:r>
        <m:r>
          <m:t>a</m:t>
        </m:r>
        <m:r>
          <m:t>t</m:t>
        </m:r>
        <m:r>
          <m:t>e</m:t>
        </m:r>
        <m:r>
          <m:t>d</m:t>
        </m:r>
        <m:r>
          <m:t>M</m:t>
        </m:r>
        <m:r>
          <m:t>A</m:t>
        </m:r>
        <m:r>
          <m:t>U</m:t>
        </m:r>
        <m:r>
          <m:rPr>
            <m:sty m:val="p"/>
          </m:rPr>
          <m:t>/</m:t>
        </m:r>
        <m:r>
          <m:t>o</m:t>
        </m:r>
        <m:r>
          <m:t>r</m:t>
        </m:r>
        <m:r>
          <m:t>d</m:t>
        </m:r>
        <m:r>
          <m:t>e</m:t>
        </m:r>
        <m:r>
          <m:t>r</m:t>
        </m:r>
        <m:r>
          <m:rPr>
            <m:sty m:val="p"/>
          </m:rPr>
          <m:t>/</m:t>
        </m:r>
        <m:r>
          <m:t>G</m:t>
        </m:r>
        <m:r>
          <m:t>O</m:t>
        </m:r>
        <m:r>
          <m:t>V</m:t>
        </m:r>
        <m:r>
          <m:t>g</m:t>
        </m:r>
        <m:r>
          <m:t>r</m:t>
        </m:r>
        <m:r>
          <m:t>o</m:t>
        </m:r>
        <m:r>
          <m:t>w</m:t>
        </m:r>
        <m:r>
          <m:t>t</m:t>
        </m:r>
        <m:r>
          <m:t>h</m:t>
        </m:r>
        <m:r>
          <m:t>i</m:t>
        </m:r>
        <m:r>
          <m:t>n</m:t>
        </m:r>
        <m:r>
          <m:t>t</m:t>
        </m:r>
        <m:r>
          <m:t>h</m:t>
        </m:r>
        <m:r>
          <m:t>e</m:t>
        </m:r>
        <m:r>
          <m:t>U</m:t>
        </m:r>
        <m:r>
          <m:rPr>
            <m:sty m:val="p"/>
          </m:rPr>
          <m:t>.</m:t>
        </m:r>
        <m:r>
          <m:t>K</m:t>
        </m:r>
        <m:r>
          <m:rPr>
            <m:sty m:val="p"/>
          </m:rPr>
          <m:t>.</m:t>
        </m:r>
        <m:r>
          <m:rPr>
            <m:sty m:val="p"/>
          </m:rPr>
          <m:t>,</m:t>
        </m:r>
        <m:r>
          <m:t>F</m:t>
        </m:r>
        <m:r>
          <m:t>r</m:t>
        </m:r>
        <m:r>
          <m:t>a</m:t>
        </m:r>
        <m:r>
          <m:t>n</m:t>
        </m:r>
        <m:r>
          <m:t>c</m:t>
        </m:r>
        <m:r>
          <m:t>e</m:t>
        </m:r>
        <m:r>
          <m:rPr>
            <m:sty m:val="p"/>
          </m:rPr>
          <m:t>,</m:t>
        </m:r>
        <m:r>
          <m:t>a</m:t>
        </m:r>
        <m:r>
          <m:t>n</m:t>
        </m:r>
        <m:r>
          <m:t>d</m:t>
        </m:r>
        <m:r>
          <m:t>I</m:t>
        </m:r>
        <m:r>
          <m:t>t</m:t>
        </m:r>
        <m:r>
          <m:t>a</m:t>
        </m:r>
        <m:r>
          <m:t>l</m:t>
        </m:r>
        <m:r>
          <m:t>y</m:t>
        </m:r>
        <m:r>
          <m:rPr>
            <m:sty m:val="p"/>
          </m:rPr>
          <m:t>.</m:t>
        </m:r>
        <m:r>
          <m:t>S</m:t>
        </m:r>
        <m:r>
          <m:t>i</m:t>
        </m:r>
        <m:r>
          <m:t>n</m:t>
        </m:r>
        <m:r>
          <m:t>c</m:t>
        </m:r>
        <m:r>
          <m:t>e</m:t>
        </m:r>
        <m:r>
          <m:t>i</m:t>
        </m:r>
        <m:sSup>
          <m:e>
            <m:r>
              <m:t>t</m:t>
            </m:r>
          </m:e>
          <m:sup>
            <m:r>
              <m:rPr>
                <m:sty m:val="p"/>
              </m:rPr>
              <m:t>′</m:t>
            </m:r>
          </m:sup>
        </m:sSup>
        <m:r>
          <m:t>s</m:t>
        </m:r>
        <m:r>
          <m:t>n</m:t>
        </m:r>
        <m:r>
          <m:t>o</m:t>
        </m:r>
        <m:r>
          <m:t>w</m:t>
        </m:r>
        <m:r>
          <m:t>i</m:t>
        </m:r>
        <m:r>
          <m:t>n</m:t>
        </m:r>
        <m:r>
          <m:t>t</m:t>
        </m:r>
        <m:r>
          <m:t>h</m:t>
        </m:r>
        <m:r>
          <m:t>e</m:t>
        </m:r>
        <m:r>
          <m:t>b</m:t>
        </m:r>
        <m:r>
          <m:t>a</m:t>
        </m:r>
        <m:r>
          <m:t>s</m:t>
        </m:r>
        <m:r>
          <m:t>e</m:t>
        </m:r>
        <m:r>
          <m:t>f</m:t>
        </m:r>
        <m:r>
          <m:t>o</m:t>
        </m:r>
        <m:r>
          <m:t>r</m:t>
        </m:r>
        <m:r>
          <m:t>g</m:t>
        </m:r>
        <m:r>
          <m:t>u</m:t>
        </m:r>
        <m:r>
          <m:t>i</m:t>
        </m:r>
        <m:r>
          <m:t>d</m:t>
        </m:r>
        <m:r>
          <m:t>a</m:t>
        </m:r>
        <m:r>
          <m:t>n</m:t>
        </m:r>
        <m:r>
          <m:t>c</m:t>
        </m:r>
        <m:r>
          <m:t>e</m:t>
        </m:r>
        <m:r>
          <m:rPr>
            <m:sty m:val="p"/>
          </m:rPr>
          <m:t>,</m:t>
        </m:r>
        <m:r>
          <m:t>i</m:t>
        </m:r>
        <m:r>
          <m:t>n</m:t>
        </m:r>
        <m:r>
          <m:t>v</m:t>
        </m:r>
        <m:r>
          <m:t>e</m:t>
        </m:r>
        <m:r>
          <m:t>s</m:t>
        </m:r>
        <m:r>
          <m:t>t</m:t>
        </m:r>
        <m:r>
          <m:t>o</m:t>
        </m:r>
        <m:r>
          <m:t>r</m:t>
        </m:r>
        <m:r>
          <m:t>s</m:t>
        </m:r>
        <m:r>
          <m:t>w</m:t>
        </m:r>
        <m:r>
          <m:t>a</m:t>
        </m:r>
        <m:r>
          <m:t>n</m:t>
        </m:r>
        <m:r>
          <m:t>t</m:t>
        </m:r>
        <m:r>
          <m:t>i</m:t>
        </m:r>
        <m:r>
          <m:t>n</m:t>
        </m:r>
        <m:r>
          <m:t>t</m:t>
        </m:r>
        <m:r>
          <m:t>e</m:t>
        </m:r>
        <m:r>
          <m:t>g</m:t>
        </m:r>
        <m:r>
          <m:t>r</m:t>
        </m:r>
        <m:r>
          <m:t>a</m:t>
        </m:r>
        <m:r>
          <m:t>t</m:t>
        </m:r>
        <m:r>
          <m:t>i</m:t>
        </m:r>
        <m:r>
          <m:t>o</m:t>
        </m:r>
        <m:r>
          <m:t>n</m:t>
        </m:r>
        <m:r>
          <m:t>o</m:t>
        </m:r>
        <m:r>
          <m:t>n</m:t>
        </m:r>
        <m:r>
          <m:rPr>
            <m:sty m:val="p"/>
          </m:rPr>
          <m:t>−</m:t>
        </m:r>
        <m:r>
          <m:t>t</m:t>
        </m:r>
        <m:r>
          <m:t>r</m:t>
        </m:r>
        <m:r>
          <m:t>a</m:t>
        </m:r>
        <m:r>
          <m:t>c</m:t>
        </m:r>
        <m:r>
          <m:t>k</m:t>
        </m:r>
        <m:r>
          <m:t>c</m:t>
        </m:r>
        <m:r>
          <m:t>o</m:t>
        </m:r>
        <m:r>
          <m:t>m</m:t>
        </m:r>
        <m:r>
          <m:t>m</m:t>
        </m:r>
        <m:r>
          <m:t>e</m:t>
        </m:r>
        <m:r>
          <m:t>n</m:t>
        </m:r>
        <m:r>
          <m:t>t</m:t>
        </m:r>
        <m:r>
          <m:t>a</m:t>
        </m:r>
        <m:r>
          <m:t>r</m:t>
        </m:r>
        <m:r>
          <m:t>y</m:t>
        </m:r>
        <m:r>
          <m:t>a</m:t>
        </m:r>
        <m:r>
          <m:t>n</m:t>
        </m:r>
        <m:r>
          <m:t>d</m:t>
        </m:r>
        <m:r>
          <m:t>c</m:t>
        </m:r>
        <m:r>
          <m:t>o</m:t>
        </m:r>
        <m:r>
          <m:t>n</m:t>
        </m:r>
        <m:r>
          <m:t>f</m:t>
        </m:r>
        <m:r>
          <m:t>i</m:t>
        </m:r>
        <m:r>
          <m:t>r</m:t>
        </m:r>
        <m:r>
          <m:t>m</m:t>
        </m:r>
        <m:r>
          <m:t>a</m:t>
        </m:r>
        <m:r>
          <m:t>t</m:t>
        </m:r>
        <m:r>
          <m:t>i</m:t>
        </m:r>
        <m:r>
          <m:t>o</m:t>
        </m:r>
        <m:r>
          <m:t>n</m:t>
        </m:r>
        <m:r>
          <m:t>o</m:t>
        </m:r>
        <m:r>
          <m:t>f</m:t>
        </m:r>
        <m:r>
          <m:t>t</m:t>
        </m:r>
        <m:r>
          <m:t>h</m:t>
        </m:r>
        <m:r>
          <m:t>e</m:t>
        </m:r>
        <m:r>
          <m:t> </m:t>
        </m:r>
      </m:oMath>
      <w:r>
        <w:t xml:space="preserve">200M FY EBITDA contribution.</w:t>
      </w:r>
    </w:p>
    <w:p>
      <w:r>
        <w:pict>
          <v:rect style="width:0;height:1.5pt" o:hralign="center" o:hrstd="t" o:hr="t"/>
        </w:pict>
      </w:r>
    </w:p>
    <w:bookmarkEnd w:id="12"/>
    <w:bookmarkStart w:id="13" w:name="X82ea2b26128ba5dcb3a0ff79ba01e8d9f70d613"/>
    <w:p>
      <w:pPr>
        <w:pStyle w:val="Heading2"/>
      </w:pPr>
      <w:r>
        <w:t xml:space="preserve">New/incremental catalysts and overhangs since last quarter</w:t>
      </w:r>
    </w:p>
    <w:p>
      <w:pPr>
        <w:pStyle w:val="Compact"/>
        <w:numPr>
          <w:ilvl w:val="0"/>
          <w:numId w:val="1002"/>
        </w:numPr>
      </w:pPr>
      <w:r>
        <w:rPr>
          <w:b/>
          <w:bCs/>
        </w:rPr>
        <w:t xml:space="preserve">DoorDash Air (drones):</w:t>
      </w:r>
      <w:r>
        <w:t xml:space="preserve"> </w:t>
      </w:r>
      <w:r>
        <w:t xml:space="preserve">DoorDash received</w:t>
      </w:r>
      <w:r>
        <w:t xml:space="preserve"> </w:t>
      </w:r>
      <w:r>
        <w:rPr>
          <w:b/>
          <w:bCs/>
        </w:rPr>
        <w:t xml:space="preserve">FAA Part 135 air-carrier certification</w:t>
      </w:r>
      <w:r>
        <w:t xml:space="preserve"> </w:t>
      </w:r>
      <w:r>
        <w:t xml:space="preserve">and is building its own drones (plus ground/coordination infrastructure), targeting a fall launch, while keeping partnerships with Wing and Flytrex. Combined with the</w:t>
      </w:r>
      <w:r>
        <w:t xml:space="preserve"> </w:t>
      </w:r>
      <w:r>
        <w:rPr>
          <w:b/>
          <w:bCs/>
        </w:rPr>
        <w:t xml:space="preserve">"Dot" autonomous ground-vehicle</w:t>
      </w:r>
      <w:r>
        <w:t xml:space="preserve"> </w:t>
      </w:r>
      <w:r>
        <w:t xml:space="preserve">program, this is a longer-dated cost-and-optionality story management will likely lean into — expect questions on capex, addressable market, and timeline. The stock reacted positively to the drone news.</w:t>
      </w:r>
    </w:p>
    <w:p>
      <w:pPr>
        <w:pStyle w:val="Compact"/>
        <w:numPr>
          <w:ilvl w:val="0"/>
          <w:numId w:val="1002"/>
        </w:numPr>
      </w:pPr>
      <w:r>
        <w:rPr>
          <w:b/>
          <w:bCs/>
        </w:rPr>
        <w:t xml:space="preserve">Regulatory scrutiny on Chinese AI:</w:t>
      </w:r>
      <w:r>
        <w:t xml:space="preserve"> </w:t>
      </w:r>
      <w:r>
        <w:t xml:space="preserve">Two House Select Committee chairs requested information on DoorDash's use of Chinese AI models (a post cited use of Moonshot's Kimi K2 for lower-level work). DoorDash said it "proudly supports American AI leadership." Minor today, but a headline/political overhang worth monitoring — especially given management's disclosure that</w:t>
      </w:r>
      <w:r>
        <w:t xml:space="preserve"> </w:t>
      </w:r>
      <w:r>
        <w:rPr>
          <w:b/>
          <w:bCs/>
        </w:rPr>
        <w:t xml:space="preserve">~two-thirds of its code is now AI-written</w:t>
      </w:r>
      <w:r>
        <w:t xml:space="preserve">.</w:t>
      </w:r>
    </w:p>
    <w:p>
      <w:pPr>
        <w:pStyle w:val="Compact"/>
        <w:numPr>
          <w:ilvl w:val="0"/>
          <w:numId w:val="1002"/>
        </w:numPr>
      </w:pPr>
      <w:r>
        <w:rPr>
          <w:b/>
          <w:bCs/>
        </w:rPr>
        <w:t xml:space="preserve">Insider selling:</w:t>
      </w:r>
      <w:r>
        <w:t xml:space="preserve"> </w:t>
      </w:r>
      <w:r>
        <w:t xml:space="preserve">Co-founders</w:t>
      </w:r>
      <w:r>
        <w:t xml:space="preserve"> </w:t>
      </w:r>
      <w:r>
        <w:rPr>
          <w:b/>
          <w:bCs/>
        </w:rPr>
        <w:t xml:space="preserve">Stanley Tang (~</w:t>
      </w:r>
      <m:oMath>
        <m:r>
          <m:t>4.5</m:t>
        </m:r>
        <m:r>
          <m:t>M</m:t>
        </m:r>
        <m:r>
          <m:rPr>
            <m:sty m:val="p"/>
          </m:rPr>
          <m:t>)</m:t>
        </m:r>
        <m:r>
          <m:t>a</m:t>
        </m:r>
        <m:r>
          <m:t>n</m:t>
        </m:r>
        <m:r>
          <m:t>d</m:t>
        </m:r>
        <m:r>
          <m:t>A</m:t>
        </m:r>
        <m:r>
          <m:t>n</m:t>
        </m:r>
        <m:r>
          <m:t>d</m:t>
        </m:r>
        <m:r>
          <m:t>y</m:t>
        </m:r>
        <m:r>
          <m:t>F</m:t>
        </m:r>
        <m:r>
          <m:t>a</m:t>
        </m:r>
        <m:r>
          <m:t>n</m:t>
        </m:r>
        <m:r>
          <m:t>g</m:t>
        </m:r>
        <m:r>
          <m:rPr>
            <m:sty m:val="p"/>
          </m:rPr>
          <m:t>(</m:t>
        </m:r>
        <m:r>
          <m:t> </m:t>
        </m:r>
      </m:oMath>
      <w:r>
        <w:rPr>
          <w:b/>
          <w:bCs/>
        </w:rPr>
        <w:t xml:space="preserve">2.0M)</w:t>
      </w:r>
      <w:r>
        <w:t xml:space="preserve"> </w:t>
      </w:r>
      <w:r>
        <w:t xml:space="preserve">filed intentions to sell (Aug 3). Likely routine/10b5-1, but optically notable right before the print.</w:t>
      </w:r>
    </w:p>
    <w:p>
      <w:pPr>
        <w:pStyle w:val="Compact"/>
        <w:numPr>
          <w:ilvl w:val="0"/>
          <w:numId w:val="1002"/>
        </w:numPr>
      </w:pPr>
      <w:r>
        <w:rPr>
          <w:b/>
          <w:bCs/>
        </w:rPr>
        <w:t xml:space="preserve">Buyback capacity:</w:t>
      </w:r>
      <w:r>
        <w:t xml:space="preserve"> </w:t>
      </w:r>
      <w:r>
        <w:t xml:space="preserve">~</w:t>
      </w:r>
      <w:r>
        <w:rPr>
          <w:b/>
          <w:bCs/>
        </w:rPr>
        <w:t xml:space="preserve">$4.8B remaining</w:t>
      </w:r>
      <w:r>
        <w:t xml:space="preserve"> </w:t>
      </w:r>
      <w:r>
        <w:t xml:space="preserve">on the</w:t>
      </w:r>
      <w:r>
        <w:t xml:space="preserve"> </w:t>
      </w:r>
      <m:oMath>
        <m:r>
          <m:t>5</m:t>
        </m:r>
        <m:r>
          <m:t>B</m:t>
        </m:r>
        <m:r>
          <m:t>a</m:t>
        </m:r>
        <m:r>
          <m:t>u</m:t>
        </m:r>
        <m:r>
          <m:t>t</m:t>
        </m:r>
        <m:r>
          <m:t>h</m:t>
        </m:r>
        <m:r>
          <m:t>o</m:t>
        </m:r>
        <m:r>
          <m:t>r</m:t>
        </m:r>
        <m:r>
          <m:t>i</m:t>
        </m:r>
        <m:r>
          <m:t>z</m:t>
        </m:r>
        <m:r>
          <m:t>a</m:t>
        </m:r>
        <m:r>
          <m:t>t</m:t>
        </m:r>
        <m:r>
          <m:t>i</m:t>
        </m:r>
        <m:r>
          <m:t>o</m:t>
        </m:r>
        <m:r>
          <m:t>n</m:t>
        </m:r>
        <m:r>
          <m:rPr>
            <m:sty m:val="p"/>
          </m:rPr>
          <m:t>;</m:t>
        </m:r>
        <m:r>
          <m:t>o</m:t>
        </m:r>
        <m:r>
          <m:t>n</m:t>
        </m:r>
        <m:r>
          <m:t>l</m:t>
        </m:r>
        <m:r>
          <m:t>y</m:t>
        </m:r>
        <m:r>
          <m:t> </m:t>
        </m:r>
      </m:oMath>
      <w:r>
        <w:t xml:space="preserve">205M repurchased YTD through early May — a lever for capital return / dilution offset ($1.3–1.4B SBC guided for 2026).</w:t>
      </w:r>
    </w:p>
    <w:p>
      <w:r>
        <w:pict>
          <v:rect style="width:0;height:1.5pt" o:hralign="center" o:hrstd="t" o:hr="t"/>
        </w:pict>
      </w:r>
    </w:p>
    <w:bookmarkEnd w:id="13"/>
    <w:bookmarkStart w:id="14" w:name="scorecard--how-to-grade-the-print"/>
    <w:p>
      <w:pPr>
        <w:pStyle w:val="Heading2"/>
      </w:pPr>
      <w:r>
        <w:t xml:space="preserve">Scorecard — how to grade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Bullish if…</w:t>
            </w:r>
          </w:p>
        </w:tc>
        <w:tc>
          <w:tcPr/>
          <w:p>
            <w:pPr>
              <w:pStyle w:val="Compact"/>
            </w:pPr>
            <w:r>
              <w:t xml:space="preserve">Bearish if…</w:t>
            </w:r>
          </w:p>
        </w:tc>
      </w:tr>
      <w:tr>
        <w:tc>
          <w:tcPr/>
          <w:p>
            <w:pPr>
              <w:pStyle w:val="Compact"/>
            </w:pPr>
            <w:r>
              <w:t xml:space="preserve">GOV lands at/above high end (~$33.4B) with</w:t>
            </w:r>
            <w:r>
              <w:t xml:space="preserve"> </w:t>
            </w:r>
            <w:r>
              <w:rPr>
                <w:b/>
                <w:bCs/>
              </w:rPr>
              <w:t xml:space="preserve">ex-Deliveroo growth stable/accelerating</w:t>
            </w:r>
          </w:p>
        </w:tc>
        <w:tc>
          <w:tcPr/>
          <w:p>
            <w:pPr>
              <w:pStyle w:val="Compact"/>
            </w:pPr>
            <w:r>
              <w:t xml:space="preserve">GOV mid/low end with</w:t>
            </w:r>
            <w:r>
              <w:t xml:space="preserve"> </w:t>
            </w:r>
            <w:r>
              <w:rPr>
                <w:b/>
                <w:bCs/>
              </w:rPr>
              <w:t xml:space="preserve">ex-Deliveroo growth decelerating</w:t>
            </w:r>
            <w:r>
              <w:t xml:space="preserve"> </w:t>
            </w:r>
            <w:r>
              <w:t xml:space="preserve">below ~24%</w:t>
            </w:r>
          </w:p>
        </w:tc>
      </w:tr>
      <w:tr>
        <w:tc>
          <w:tcPr/>
          <w:p>
            <w:pPr>
              <w:pStyle w:val="Compact"/>
            </w:pPr>
            <w:r>
              <w:t xml:space="preserve">Adj. EBITDA ≥ high end (~$870M) and FY framework reaffirmed/raised</w:t>
            </w:r>
          </w:p>
        </w:tc>
        <w:tc>
          <w:tcPr/>
          <w:p>
            <w:pPr>
              <w:pStyle w:val="Compact"/>
            </w:pPr>
            <w:r>
              <w:t xml:space="preserve">EBITDA at/below midpoint with lowered FY margin outlook</w:t>
            </w:r>
          </w:p>
        </w:tc>
      </w:tr>
      <w:tr>
        <w:tc>
          <w:tcPr/>
          <w:p>
            <w:pPr>
              <w:pStyle w:val="Compact"/>
            </w:pPr>
            <w:r>
              <w:t xml:space="preserve">U.S. restaurant re-accelerates; new verticals on track to H2 GP-positive</w:t>
            </w:r>
          </w:p>
        </w:tc>
        <w:tc>
          <w:tcPr/>
          <w:p>
            <w:pPr>
              <w:pStyle w:val="Compact"/>
            </w:pPr>
            <w:r>
              <w:t xml:space="preserve">Core restaurant softness beyond weather normalization</w:t>
            </w:r>
          </w:p>
        </w:tc>
      </w:tr>
      <w:tr>
        <w:tc>
          <w:tcPr/>
          <w:p>
            <w:pPr>
              <w:pStyle w:val="Compact"/>
            </w:pPr>
            <w:r>
              <w:t xml:space="preserve">Gas program contained, replatforming costs unchanged, H2 back-half-loaded margin intact</w:t>
            </w:r>
          </w:p>
        </w:tc>
        <w:tc>
          <w:tcPr/>
          <w:p>
            <w:pPr>
              <w:pStyle w:val="Compact"/>
            </w:pPr>
            <w:r>
              <w:t xml:space="preserve">Gas costs creep, replatforming slips, GAAP profit erosion widens</w:t>
            </w:r>
          </w:p>
        </w:tc>
      </w:tr>
      <w:tr>
        <w:tc>
          <w:tcPr/>
          <w:p>
            <w:pPr>
              <w:pStyle w:val="Compact"/>
            </w:pPr>
            <w:r>
              <w:t xml:space="preserve">Q3 GOV guide comfortably above consensus</w:t>
            </w:r>
          </w:p>
        </w:tc>
        <w:tc>
          <w:tcPr/>
          <w:p>
            <w:pPr>
              <w:pStyle w:val="Compact"/>
            </w:pPr>
            <w:r>
              <w:t xml:space="preserve">Cautious guide citing consumer/macro</w:t>
            </w:r>
          </w:p>
        </w:tc>
      </w:tr>
    </w:tbl>
    <w:p>
      <w:pPr>
        <w:pStyle w:val="BodyText"/>
      </w:pPr>
      <w:r>
        <w:rPr>
          <w:b/>
          <w:bCs/>
        </w:rPr>
        <w:t xml:space="preserve">Bottom line:</w:t>
      </w:r>
      <w:r>
        <w:t xml:space="preserve"> </w:t>
      </w:r>
      <w:r>
        <w:t xml:space="preserve">The top-line story is intact and arguably accelerating, but 2026 is a "spend now, harvest later" year, so the market's focus will be less on the (likely solid) GOV/revenue beat and more on</w:t>
      </w:r>
      <w:r>
        <w:t xml:space="preserve"> </w:t>
      </w:r>
      <w:r>
        <w:rPr>
          <w:b/>
          <w:bCs/>
        </w:rPr>
        <w:t xml:space="preserve">margin trajectory, the credibility of the H2 EBITDA ramp, and the size of the newer bets (autonomy/drones)</w:t>
      </w:r>
      <w:r>
        <w:t xml:space="preserve">. With the stock having recovered ~38% off its lows but still well below prior highs, expectations are constructive but not euphoric — leaving room for a positive reaction if management can show investment discipline alongside the growth.</w:t>
      </w:r>
    </w:p>
    <w:p>
      <w:r>
        <w:pict>
          <v:rect style="width:0;height:1.5pt" o:hralign="center" o:hrstd="t" o:hr="t"/>
        </w:pict>
      </w:r>
    </w:p>
    <w:p>
      <w:pPr>
        <w:pStyle w:val="FirstParagraph"/>
      </w:pPr>
      <w:r>
        <w:rPr>
          <w:i/>
          <w:iCs/>
        </w:rPr>
        <w:t xml:space="preserve">Sources: DoorDash Q1 2026 earnings release and earnings call transcript (May 6, 2026); daily news digests and public news (Jul 29–Aug 4, 2026); historical DASH prices (Finnhub). Figures for Q2 2026 are guidance/estimates; actuals report 8/5.</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2026-08-05T00:53:20Z</dcterms:created>
  <dcterms:modified xsi:type="dcterms:W3CDTF">2026-08-05T00:53:20Z</dcterms:modified>
</cp:coreProperties>
</file>

<file path=docProps/custom.xml><?xml version="1.0" encoding="utf-8"?>
<Properties xmlns="http://schemas.openxmlformats.org/officeDocument/2006/custom-properties" xmlns:vt="http://schemas.openxmlformats.org/officeDocument/2006/docPropsVTypes"/>
</file>