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ash-earnings-predictions--2026-08-05"/>
    <w:p>
      <w:pPr>
        <w:pStyle w:val="Heading1"/>
      </w:pPr>
      <w:r>
        <w:t xml:space="preserve">DASH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Marketplace GOV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33.7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32.9B (guide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820M (guide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~$4.39B vs. cons $4.33B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GOV guide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~$34.2B (implied</w:t>
            </w:r>
            <w:r>
              <w:t xml:space="preserve"> </w:t>
            </w:r>
            <m:oMath>
              <m:r>
                <m:t>33.6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34.8B range) vs. cons ~$33.5B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~$885M (implied</w:t>
            </w:r>
            <w:r>
              <w:t xml:space="preserve"> </w:t>
            </w:r>
            <m:oMath>
              <m:r>
                <m:t>840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930M range) vs. cons ~$850M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Dasher gas-relief program cost commentary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</m:t>
              </m:r>
              <m:r>
                <m:t>M</m:t>
              </m:r>
              <m:r>
                <m:t>c</m:t>
              </m:r>
              <m:r>
                <m:t>o</m:t>
              </m:r>
              <m:r>
                <m:t>n</m:t>
              </m:r>
              <m:r>
                <m:t>t</m:t>
              </m:r>
              <m:r>
                <m:t>i</m:t>
              </m:r>
              <m:r>
                <m:t>n</m:t>
              </m:r>
              <m:r>
                <m:t>u</m:t>
              </m:r>
              <m:r>
                <m:t>e</m:t>
              </m:r>
              <m:r>
                <m:t>d</m:t>
              </m:r>
              <m:r>
                <m:t>g</m:t>
              </m:r>
              <m:r>
                <m:t>r</m:t>
              </m:r>
              <m:r>
                <m:t>o</m:t>
              </m:r>
              <m:r>
                <m:t>s</m:t>
              </m:r>
              <m:r>
                <m:t>s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15M wind-down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framework (ex-GOV, 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~slightly higher than FY2025 margin (reaffirmed) vs. cons ~same slightly-higher framework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A GOV/EBITDA/revenue beat plus a better-than-feared Q3 GOV/EBITDA guide should drive an initial pop similar in kind (if smaller in magnitude) to the May post-Q1 rally, since the stock has already re-rated ~37% off its spring lows and much of the 'demand is fine' narrative is priced in. However, persistent gas-relief costs (elevated fuel prices from geopolitical risk), triple-tech-stack replatforming spend, and net revenue margin compression create implicit out-period estimate risk that should cap further follow-through as sell-side digests margin durability into 2H26/FY27 — net effect is an initial gain that mostly holds rather than extends or fully reverses over the next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2026-08-05T00:53:49Z</dcterms:created>
  <dcterms:modified xsi:type="dcterms:W3CDTF">2026-08-05T00:53:49Z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