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doordash-dash-q2-2026-earnings-preview"/>
    <w:p>
      <w:pPr>
        <w:pStyle w:val="Heading1"/>
      </w:pPr>
      <w:r>
        <w:t xml:space="preserve">DoorDash (DASH)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DASH shares have been volatile but resilient in 2026 — trading roughly flat-to-down YTD after a brutal February-March drawdown (from ~$230 to a low near $147) followed by a strong summer recovery back above $200 heading into the print. The stock is up sharply into earnings: DoorDash is up 7.1% in the month heading into the print, with an average analyst price target of $245.06 versus a current share price around $201.90. Sentiment among the sell-side skews bullish: analysts are highly optimistic about DASH, with the stock carrying an overall "Strong Buy" rating — of 40 analysts covering the stock, 29 recommend "Strong Buy," two suggest "Moderate Buy," and nine suggest "Hold", with an average price target of roughly</w:t>
      </w:r>
      <w:r>
        <w:t xml:space="preserve"> </w:t>
      </w:r>
      <m:oMath>
        <m:r>
          <m:t>247</m:t>
        </m:r>
        <m:r>
          <m:rPr>
            <m:sty m:val="p"/>
          </m:rPr>
          <m:t>−</m:t>
        </m:r>
      </m:oMath>
      <w:r>
        <w:t xml:space="preserve">247, implying meaningful upside from current levels.</w:t>
      </w:r>
    </w:p>
    <w:p>
      <w:pPr>
        <w:pStyle w:val="BodyText"/>
      </w:pPr>
      <w:r>
        <w:t xml:space="preserve">That said, not everyone is convinced the setup is clean — one bearish preview argues DASH's order demand could see a slight slowdown, and higher fuel prices could pressure earnings, even as earnings momentum is expected to remain very good.</w:t>
      </w:r>
    </w:p>
    <w:bookmarkEnd w:id="9"/>
    <w:bookmarkStart w:id="10" w:name="consensus-expectations"/>
    <w:p>
      <w:pPr>
        <w:pStyle w:val="Heading2"/>
      </w:pPr>
      <w:r>
        <w:t xml:space="preserve">Consensus Expectations</w:t>
      </w:r>
    </w:p>
    <w:p>
      <w:pPr>
        <w:pStyle w:val="Compact"/>
        <w:numPr>
          <w:ilvl w:val="0"/>
          <w:numId w:val="1001"/>
        </w:numPr>
      </w:pPr>
      <w:r>
        <w:rPr>
          <w:b/>
          <w:bCs/>
        </w:rPr>
        <w:t xml:space="preserve">Revenue:</w:t>
      </w:r>
      <w:r>
        <w:t xml:space="preserve"> </w:t>
      </w:r>
      <w:r>
        <w:t xml:space="preserve">Street looks for roughly</w:t>
      </w:r>
      <w:r>
        <w:t xml:space="preserve"> </w:t>
      </w:r>
      <w:r>
        <w:rPr>
          <w:b/>
          <w:bCs/>
        </w:rPr>
        <w:t xml:space="preserve">$4.32–4.33 billion</w:t>
      </w:r>
      <w:r>
        <w:t xml:space="preserve">, up about 31–32% year-over-year. Street expectations call for sales growth of 32.1% to $4.33 billion.</w:t>
      </w:r>
    </w:p>
    <w:p>
      <w:pPr>
        <w:pStyle w:val="Compact"/>
        <w:numPr>
          <w:ilvl w:val="0"/>
          <w:numId w:val="1001"/>
        </w:numPr>
      </w:pPr>
      <w:r>
        <w:rPr>
          <w:b/>
          <w:bCs/>
        </w:rPr>
        <w:t xml:space="preserve">EPS:</w:t>
      </w:r>
      <w:r>
        <w:t xml:space="preserve"> </w:t>
      </w:r>
      <w:r>
        <w:t xml:space="preserve">Analysts expect diluted EPS of $0.50, down 23.1% from $0.65 in the year-ago quarter — the decline is mostly a function of tougher comps and planned reinvestment (see below), not deteriorating fundamentals.</w:t>
      </w:r>
    </w:p>
    <w:p>
      <w:pPr>
        <w:pStyle w:val="Compact"/>
        <w:numPr>
          <w:ilvl w:val="0"/>
          <w:numId w:val="1001"/>
        </w:numPr>
      </w:pPr>
      <w:r>
        <w:rPr>
          <w:b/>
          <w:bCs/>
        </w:rPr>
        <w:t xml:space="preserve">Orders:</w:t>
      </w:r>
      <w:r>
        <w:t xml:space="preserve"> </w:t>
      </w:r>
      <w:r>
        <w:t xml:space="preserve">The Zacks Consensus Estimate for second-quarter total orders is pegged at 974 million, indicating 27.9% year-over-year growth.</w:t>
      </w:r>
    </w:p>
    <w:p>
      <w:pPr>
        <w:pStyle w:val="Compact"/>
        <w:numPr>
          <w:ilvl w:val="0"/>
          <w:numId w:val="1001"/>
        </w:numPr>
      </w:pPr>
      <w:r>
        <w:rPr>
          <w:b/>
          <w:bCs/>
        </w:rPr>
        <w:t xml:space="preserve">Full-year 2026 EPS:</w:t>
      </w:r>
      <w:r>
        <w:t xml:space="preserve"> </w:t>
      </w:r>
      <w:r>
        <w:t xml:space="preserve">roughly $2.40, up from $2.13 in FY2025, per Street estimates.</w:t>
      </w:r>
    </w:p>
    <w:bookmarkEnd w:id="10"/>
    <w:bookmarkStart w:id="11" w:name="Xb76fe394bc5ded8191b8e6a23605e5eba039787"/>
    <w:p>
      <w:pPr>
        <w:pStyle w:val="Heading2"/>
      </w:pPr>
      <w:r>
        <w:t xml:space="preserve">Management's Own Guidance (set at Q1 report, May 6)</w:t>
      </w:r>
    </w:p>
    <w:p>
      <w:pPr>
        <w:pStyle w:val="FirstParagraph"/>
      </w:pPr>
      <w:r>
        <w:t xml:space="preserve">DoorDash's own guidance for the quarter, issued alongside Q1 results, calls for:</w:t>
      </w:r>
    </w:p>
    <w:p>
      <w:pPr>
        <w:pStyle w:val="Compact"/>
        <w:numPr>
          <w:ilvl w:val="0"/>
          <w:numId w:val="1002"/>
        </w:numPr>
      </w:pPr>
      <w:r>
        <w:rPr>
          <w:b/>
          <w:bCs/>
        </w:rPr>
        <w:t xml:space="preserve">Marketplace GOV:</w:t>
      </w:r>
      <w:r>
        <w:t xml:space="preserve"> </w:t>
      </w:r>
      <w:r>
        <w:t xml:space="preserve">$32.4 billion – $33.4 billion</w:t>
      </w:r>
    </w:p>
    <w:p>
      <w:pPr>
        <w:pStyle w:val="Compact"/>
        <w:numPr>
          <w:ilvl w:val="0"/>
          <w:numId w:val="1002"/>
        </w:numPr>
      </w:pPr>
      <w:r>
        <w:rPr>
          <w:b/>
          <w:bCs/>
        </w:rPr>
        <w:t xml:space="preserve">Adjusted EBITDA:</w:t>
      </w:r>
      <w:r>
        <w:t xml:space="preserve"> </w:t>
      </w:r>
      <w:r>
        <w:t xml:space="preserve">$770 million – $870 million</w:t>
      </w:r>
    </w:p>
    <w:p>
      <w:pPr>
        <w:pStyle w:val="FirstParagraph"/>
      </w:pPr>
      <w:r>
        <w:t xml:space="preserve">This guide came in well above buy-side fears at the time — Q2 2026 GOV guidance of $32.4 to $33.4 billion came in well above the $28.0 billion consensus prevailing ahead of the Q1 print, which was the main driver of a roughly 10% post-earnings rally in DASH shares in May.</w:t>
      </w:r>
    </w:p>
    <w:bookmarkEnd w:id="11"/>
    <w:bookmarkStart w:id="12" w:name="Xcb4fe604ea02bafdc612afc368584a66dfedbe0"/>
    <w:p>
      <w:pPr>
        <w:pStyle w:val="Heading2"/>
      </w:pPr>
      <w:r>
        <w:t xml:space="preserve">Q1 2026 Recap — Why It Matters for Tomorrow</w:t>
      </w:r>
    </w:p>
    <w:p>
      <w:pPr>
        <w:pStyle w:val="FirstParagraph"/>
      </w:pPr>
      <w:r>
        <w:t xml:space="preserve">Q1 set an important tone: DoorDash beat on EPS but missed on revenue, yet the stock rallied hard because guidance was so strong. Key Q1 metrics from the earnings release: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Q1 2025</w:t>
            </w:r>
          </w:p>
        </w:tc>
        <w:tc>
          <w:tcPr/>
          <w:p>
            <w:pPr>
              <w:pStyle w:val="Compact"/>
            </w:pPr>
            <w:r>
              <w:t xml:space="preserve">Q4 2025</w:t>
            </w:r>
          </w:p>
        </w:tc>
        <w:tc>
          <w:tcPr/>
          <w:p>
            <w:pPr>
              <w:pStyle w:val="Compact"/>
            </w:pPr>
            <w:r>
              <w:t xml:space="preserve">Q1 2026</w:t>
            </w:r>
          </w:p>
        </w:tc>
        <w:tc>
          <w:tcPr/>
          <w:p>
            <w:pPr>
              <w:pStyle w:val="Compact"/>
            </w:pPr>
            <w:r>
              <w:t xml:space="preserve">Y/Y</w:t>
            </w:r>
          </w:p>
        </w:tc>
      </w:tr>
      <w:tr>
        <w:tc>
          <w:tcPr/>
          <w:p>
            <w:pPr>
              <w:pStyle w:val="Compact"/>
            </w:pPr>
            <w:r>
              <w:t xml:space="preserve">Total Orders</w:t>
            </w:r>
          </w:p>
        </w:tc>
        <w:tc>
          <w:tcPr/>
          <w:p>
            <w:pPr>
              <w:pStyle w:val="Compact"/>
            </w:pPr>
            <w:r>
              <w:t xml:space="preserve">732M</w:t>
            </w:r>
          </w:p>
        </w:tc>
        <w:tc>
          <w:tcPr/>
          <w:p>
            <w:pPr>
              <w:pStyle w:val="Compact"/>
            </w:pPr>
            <w:r>
              <w:t xml:space="preserve">903M</w:t>
            </w:r>
          </w:p>
        </w:tc>
        <w:tc>
          <w:tcPr/>
          <w:p>
            <w:pPr>
              <w:pStyle w:val="Compact"/>
            </w:pPr>
            <w:r>
              <w:t xml:space="preserve">933M</w:t>
            </w:r>
          </w:p>
        </w:tc>
        <w:tc>
          <w:tcPr/>
          <w:p>
            <w:pPr>
              <w:pStyle w:val="Compact"/>
            </w:pPr>
            <w:r>
              <w:t xml:space="preserve">+27%</w:t>
            </w:r>
          </w:p>
        </w:tc>
      </w:tr>
      <w:tr>
        <w:tc>
          <w:tcPr/>
          <w:p>
            <w:pPr>
              <w:pStyle w:val="Compact"/>
            </w:pPr>
            <w:r>
              <w:t xml:space="preserve">Marketplace GOV</w:t>
            </w:r>
          </w:p>
        </w:tc>
        <w:tc>
          <w:tcPr/>
          <w:p>
            <w:pPr>
              <w:pStyle w:val="Compact"/>
            </w:pPr>
            <w:r>
              <w:t xml:space="preserve">$23.1B</w:t>
            </w:r>
          </w:p>
        </w:tc>
        <w:tc>
          <w:tcPr/>
          <w:p>
            <w:pPr>
              <w:pStyle w:val="Compact"/>
            </w:pPr>
            <w:r>
              <w:t xml:space="preserve">$29.7B</w:t>
            </w:r>
          </w:p>
        </w:tc>
        <w:tc>
          <w:tcPr/>
          <w:p>
            <w:pPr>
              <w:pStyle w:val="Compact"/>
            </w:pPr>
            <w:r>
              <w:t xml:space="preserve">$31.6B</w:t>
            </w:r>
          </w:p>
        </w:tc>
        <w:tc>
          <w:tcPr/>
          <w:p>
            <w:pPr>
              <w:pStyle w:val="Compact"/>
            </w:pPr>
            <w:r>
              <w:t xml:space="preserve">+37%</w:t>
            </w:r>
          </w:p>
        </w:tc>
      </w:tr>
      <w:tr>
        <w:tc>
          <w:tcPr/>
          <w:p>
            <w:pPr>
              <w:pStyle w:val="Compact"/>
            </w:pPr>
            <w:r>
              <w:t xml:space="preserve">Revenue</w:t>
            </w:r>
          </w:p>
        </w:tc>
        <w:tc>
          <w:tcPr/>
          <w:p>
            <w:pPr>
              <w:pStyle w:val="Compact"/>
            </w:pPr>
            <w:r>
              <w:t xml:space="preserve">$3.03B</w:t>
            </w:r>
          </w:p>
        </w:tc>
        <w:tc>
          <w:tcPr/>
          <w:p>
            <w:pPr>
              <w:pStyle w:val="Compact"/>
            </w:pPr>
            <w:r>
              <w:t xml:space="preserve">$3.96B</w:t>
            </w:r>
          </w:p>
        </w:tc>
        <w:tc>
          <w:tcPr/>
          <w:p>
            <w:pPr>
              <w:pStyle w:val="Compact"/>
            </w:pPr>
            <w:r>
              <w:t xml:space="preserve">$4.04B</w:t>
            </w:r>
          </w:p>
        </w:tc>
        <w:tc>
          <w:tcPr/>
          <w:p>
            <w:pPr>
              <w:pStyle w:val="Compact"/>
            </w:pPr>
            <w:r>
              <w:t xml:space="preserve">+33%</w:t>
            </w:r>
          </w:p>
        </w:tc>
      </w:tr>
      <w:tr>
        <w:tc>
          <w:tcPr/>
          <w:p>
            <w:pPr>
              <w:pStyle w:val="Compact"/>
            </w:pPr>
            <w:r>
              <w:t xml:space="preserve">Net Revenue Margin</w:t>
            </w:r>
          </w:p>
        </w:tc>
        <w:tc>
          <w:tcPr/>
          <w:p>
            <w:pPr>
              <w:pStyle w:val="Compact"/>
            </w:pPr>
            <w:r>
              <w:t xml:space="preserve">13.1%</w:t>
            </w:r>
          </w:p>
        </w:tc>
        <w:tc>
          <w:tcPr/>
          <w:p>
            <w:pPr>
              <w:pStyle w:val="Compact"/>
            </w:pPr>
            <w:r>
              <w:t xml:space="preserve">13.3%</w:t>
            </w:r>
          </w:p>
        </w:tc>
        <w:tc>
          <w:tcPr/>
          <w:p>
            <w:pPr>
              <w:pStyle w:val="Compact"/>
            </w:pPr>
            <w:r>
              <w:t xml:space="preserve">12.8%</w:t>
            </w:r>
          </w:p>
        </w:tc>
        <w:tc>
          <w:tcPr/>
          <w:p>
            <w:pPr>
              <w:pStyle w:val="Compact"/>
            </w:pPr>
            <w:r>
              <w:t xml:space="preserve">-30bps</w:t>
            </w:r>
          </w:p>
        </w:tc>
      </w:tr>
      <w:tr>
        <w:tc>
          <w:tcPr/>
          <w:p>
            <w:pPr>
              <w:pStyle w:val="Compact"/>
            </w:pPr>
            <w:r>
              <w:t xml:space="preserve">Adjusted EBITDA</w:t>
            </w:r>
          </w:p>
        </w:tc>
        <w:tc>
          <w:tcPr/>
          <w:p>
            <w:pPr>
              <w:pStyle w:val="Compact"/>
            </w:pPr>
            <w:r>
              <w:t xml:space="preserve">$590M</w:t>
            </w:r>
          </w:p>
        </w:tc>
        <w:tc>
          <w:tcPr/>
          <w:p>
            <w:pPr>
              <w:pStyle w:val="Compact"/>
            </w:pPr>
            <w:r>
              <w:t xml:space="preserve">$780M</w:t>
            </w:r>
          </w:p>
        </w:tc>
        <w:tc>
          <w:tcPr/>
          <w:p>
            <w:pPr>
              <w:pStyle w:val="Compact"/>
            </w:pPr>
            <w:r>
              <w:t xml:space="preserve">$754M</w:t>
            </w:r>
          </w:p>
        </w:tc>
        <w:tc>
          <w:tcPr/>
          <w:p>
            <w:pPr>
              <w:pStyle w:val="Compact"/>
            </w:pPr>
            <w:r>
              <w:t xml:space="preserve">+28%</w:t>
            </w:r>
          </w:p>
        </w:tc>
      </w:tr>
      <w:tr>
        <w:tc>
          <w:tcPr/>
          <w:p>
            <w:pPr>
              <w:pStyle w:val="Compact"/>
            </w:pPr>
            <w:r>
              <w:t xml:space="preserve">Adj. EBITDA % of GOV</w:t>
            </w:r>
          </w:p>
        </w:tc>
        <w:tc>
          <w:tcPr/>
          <w:p>
            <w:pPr>
              <w:pStyle w:val="Compact"/>
            </w:pPr>
            <w:r>
              <w:t xml:space="preserve">2.6%</w:t>
            </w:r>
          </w:p>
        </w:tc>
        <w:tc>
          <w:tcPr/>
          <w:p>
            <w:pPr>
              <w:pStyle w:val="Compact"/>
            </w:pPr>
            <w:r>
              <w:t xml:space="preserve">2.6%</w:t>
            </w:r>
          </w:p>
        </w:tc>
        <w:tc>
          <w:tcPr/>
          <w:p>
            <w:pPr>
              <w:pStyle w:val="Compact"/>
            </w:pPr>
            <w:r>
              <w:t xml:space="preserve">2.4%</w:t>
            </w:r>
          </w:p>
        </w:tc>
        <w:tc>
          <w:tcPr/>
          <w:p>
            <w:pPr>
              <w:pStyle w:val="Compact"/>
            </w:pPr>
            <w:r>
              <w:t xml:space="preserve">-20bps</w:t>
            </w:r>
          </w:p>
        </w:tc>
      </w:tr>
      <w:tr>
        <w:tc>
          <w:tcPr/>
          <w:p>
            <w:pPr>
              <w:pStyle w:val="Compact"/>
            </w:pPr>
            <w:r>
              <w:t xml:space="preserve">GAAP Net Income</w:t>
            </w:r>
          </w:p>
        </w:tc>
        <w:tc>
          <w:tcPr/>
          <w:p>
            <w:pPr>
              <w:pStyle w:val="Compact"/>
            </w:pPr>
            <w:r>
              <w:t xml:space="preserve">$193M</w:t>
            </w:r>
          </w:p>
        </w:tc>
        <w:tc>
          <w:tcPr/>
          <w:p>
            <w:pPr>
              <w:pStyle w:val="Compact"/>
            </w:pPr>
            <w:r>
              <w:t xml:space="preserve">$213M</w:t>
            </w:r>
          </w:p>
        </w:tc>
        <w:tc>
          <w:tcPr/>
          <w:p>
            <w:pPr>
              <w:pStyle w:val="Compact"/>
            </w:pPr>
            <w:r>
              <w:t xml:space="preserve">$184M</w:t>
            </w:r>
          </w:p>
        </w:tc>
        <w:tc>
          <w:tcPr/>
          <w:p>
            <w:pPr>
              <w:pStyle w:val="Compact"/>
            </w:pPr>
            <w:r>
              <w:t xml:space="preserve">-5%</w:t>
            </w:r>
          </w:p>
        </w:tc>
      </w:tr>
    </w:tbl>
    <w:p>
      <w:pPr>
        <w:pStyle w:val="BodyText"/>
      </w:pPr>
      <w:r>
        <w:t xml:space="preserve">Management framed Q1 softness as timing- and weather-related rather than demand-related: the impact purely from a winter storm perspective was roughly 1% on a year-over-year GOV growth basis, while underlying demand continued to be very good, with MAUs reaching an all-time high, order frequency growing, and subscription posting a record quarter across DoorDash, Deliveroo and Wolt. Excluding the Deliveroo acquisition, Total Orders increased 16% year-over-year in Q1 2026, and Marketplace GOV increased 24% Y/Y excluding Deliveroo — evidence the core legacy business is still decelerating from its 2025 highs even as reported growth accelerates on the Deliveroo roll-up.</w:t>
      </w:r>
    </w:p>
    <w:bookmarkEnd w:id="12"/>
    <w:bookmarkStart w:id="13" w:name="what-to-watch-in-tomorrows-print"/>
    <w:p>
      <w:pPr>
        <w:pStyle w:val="Heading2"/>
      </w:pPr>
      <w:r>
        <w:t xml:space="preserve">What to Watch in Tomorrow's Print</w:t>
      </w:r>
    </w:p>
    <w:p>
      <w:pPr>
        <w:pStyle w:val="FirstParagraph"/>
      </w:pPr>
      <w:r>
        <w:rPr>
          <w:b/>
          <w:bCs/>
        </w:rPr>
        <w:t xml:space="preserve">1. The Dasher gas-relief program cost and duration.</w:t>
      </w:r>
      <w:r>
        <w:t xml:space="preserve"> </w:t>
      </w:r>
      <w:r>
        <w:t xml:space="preserve">Management flagged this explicitly last quarter: for Q2 2026, DoorDash anticipates the gross cost of the Dasher gas relief program to be over $50 million, which it expects to fund at least partially by adjusting investment in other areas. On the call, CFO Ravi Inukonda confirmed the rough impact of the gas rewards program was about $50 million in Q1, and the projection for the impact in Q2 was also about $50 million, with the company finding offsets elsewhere in the business and pushing some H1 investments into H2. Investors will want to know whether the program is being extended into Q3 given still-elevated gas prices (tied to the Iran conflict, per recent macro news), and whether new offsets are needed.</w:t>
      </w:r>
    </w:p>
    <w:p>
      <w:pPr>
        <w:pStyle w:val="BodyText"/>
      </w:pPr>
      <w:r>
        <w:rPr>
          <w:b/>
          <w:bCs/>
        </w:rPr>
        <w:t xml:space="preserve">2. Full-year EBITDA margin trajectory.</w:t>
      </w:r>
      <w:r>
        <w:t xml:space="preserve"> </w:t>
      </w:r>
      <w:r>
        <w:t xml:space="preserve">Despite the gas-cost drag, management has been consistent: Ravi Inukonda's broader view on EBITDA for the full year had not changed — he continues to expect overall EBITDA margins for 2026 to be slightly higher than 2025 excluding GOV, with Deliveroo contributing roughly $200 million of EBITDA, and second-half EBITDA margins higher than the first half. Any wobble on this framing would be a red flag.</w:t>
      </w:r>
    </w:p>
    <w:p>
      <w:pPr>
        <w:pStyle w:val="BodyText"/>
      </w:pPr>
      <w:r>
        <w:rPr>
          <w:b/>
          <w:bCs/>
        </w:rPr>
        <w:t xml:space="preserve">3. Replatforming / "triple-stack" costs.</w:t>
      </w:r>
      <w:r>
        <w:t xml:space="preserve"> </w:t>
      </w:r>
      <w:r>
        <w:t xml:space="preserve">DoorDash is mid-way through migrating DoorDash, Wolt and Deliveroo onto a single global tech stack. Per the CFO: the company is running all three tech stacks in parallel during the transition, with redundant spend that will phase in and phase out — expected to run mostly through 2026, with some bleed into early 2027. Watch for updates on production traffic ramp and cost-timing.</w:t>
      </w:r>
    </w:p>
    <w:p>
      <w:pPr>
        <w:pStyle w:val="BodyText"/>
      </w:pPr>
      <w:r>
        <w:rPr>
          <w:b/>
          <w:bCs/>
        </w:rPr>
        <w:t xml:space="preserve">4. Deliveroo integration progress.</w:t>
      </w:r>
      <w:r>
        <w:t xml:space="preserve"> </w:t>
      </w:r>
      <w:r>
        <w:t xml:space="preserve">This remains a swing factor for both growth and margin optics. In Q1, excluding Deliveroo, unit economics in international marketplaces increased on a Y/Y basis, and Tony Xu noted Deliveroo was seeing its highest growth rate in the past four years, reaccelerating each month since DoorDash began operating it, while Wolt saw its highest share performance in each country where it operates.</w:t>
      </w:r>
    </w:p>
    <w:p>
      <w:pPr>
        <w:pStyle w:val="BodyText"/>
      </w:pPr>
      <w:r>
        <w:rPr>
          <w:b/>
          <w:bCs/>
        </w:rPr>
        <w:t xml:space="preserve">5. New verticals (grocery/retail) profitability milestone.</w:t>
      </w:r>
      <w:r>
        <w:t xml:space="preserve"> </w:t>
      </w:r>
      <w:r>
        <w:t xml:space="preserve">Management previously guided to gross-profit positivity for new verticals in H2 2026 — Ravi Inukonda said the company was trending well toward the new vertical portfolio being gross-profit positive in the second half. Confirmation of that trajectory (or slippage) matters for the multi-year margin story.</w:t>
      </w:r>
    </w:p>
    <w:p>
      <w:pPr>
        <w:pStyle w:val="BodyText"/>
      </w:pPr>
      <w:r>
        <w:rPr>
          <w:b/>
          <w:bCs/>
        </w:rPr>
        <w:t xml:space="preserve">6. Advertising monetization.</w:t>
      </w:r>
      <w:r>
        <w:t xml:space="preserve"> </w:t>
      </w:r>
      <w:r>
        <w:t xml:space="preserve">Ads remains a high-margin lever: Tony Xu said the ads business had never gone better, sitting at a record high and continuing to grow extremely fast compared to any previous year, driven by cracking the code on both larger advertisers and CPG partners.</w:t>
      </w:r>
    </w:p>
    <w:p>
      <w:pPr>
        <w:pStyle w:val="BodyText"/>
      </w:pPr>
      <w:r>
        <w:rPr>
          <w:b/>
          <w:bCs/>
        </w:rPr>
        <w:t xml:space="preserve">7. DoorDash Air / drone delivery.</w:t>
      </w:r>
      <w:r>
        <w:t xml:space="preserve"> </w:t>
      </w:r>
      <w:r>
        <w:t xml:space="preserve">A new, non-consensus catalyst since the Q1 call: DoorDash unveiled</w:t>
      </w:r>
      <w:r>
        <w:t xml:space="preserve"> </w:t>
      </w:r>
      <w:r>
        <w:rPr>
          <w:b/>
          <w:bCs/>
        </w:rPr>
        <w:t xml:space="preserve">DoorDash Air</w:t>
      </w:r>
      <w:r>
        <w:t xml:space="preserve">, having secured FAA Part 135 air carrier certification to commercially operate a drone delivery service, with the company building its own aircraft through its robotics and autonomy team, planning to launch in the fall while maintaining existing partnerships with Alphabet's Wing and Flytrex. This is a longer-duration story rather than a near-term financial driver, but expect questions on capex/opex implications and timeline.</w:t>
      </w:r>
    </w:p>
    <w:p>
      <w:pPr>
        <w:pStyle w:val="BodyText"/>
      </w:pPr>
      <w:r>
        <w:rPr>
          <w:b/>
          <w:bCs/>
        </w:rPr>
        <w:t xml:space="preserve">8. Regulatory/political overhang: Chinese AI scrutiny.</w:t>
      </w:r>
      <w:r>
        <w:t xml:space="preserve"> </w:t>
      </w:r>
      <w:r>
        <w:t xml:space="preserve">A fresh headline risk emerged in late July: U.S. lawmakers requested information from DoorDash on its use of Chinese AI models, with two House Select Committees asking the company to share information on its evaluation and deployment of AI systems including Moonshot AI's Kimi K2.6. DoorDash's response was that it "proudly supports American AI leadership" and is "working to ensure AI benefits Main Street" while looking forward to engaging with the committees. Expect this to come up on the call, though it's more reputational/political than financial in the near term.</w:t>
      </w:r>
    </w:p>
    <w:p>
      <w:pPr>
        <w:pStyle w:val="BodyText"/>
      </w:pPr>
      <w:r>
        <w:rPr>
          <w:b/>
          <w:bCs/>
        </w:rPr>
        <w:t xml:space="preserve">9. Insider selling.</w:t>
      </w:r>
      <w:r>
        <w:t xml:space="preserve"> </w:t>
      </w:r>
      <w:r>
        <w:t xml:space="preserve">Several Rule 144 filings from co-founders/executives (Andy Fang, Stanley Tang) disclosing intended stock sales hit the tape just before earnings — routine 10b5-1-style activity, but worth noting given the stock's recent run.</w:t>
      </w:r>
    </w:p>
    <w:p>
      <w:pPr>
        <w:pStyle w:val="BodyText"/>
      </w:pPr>
      <w:r>
        <w:rPr>
          <w:b/>
          <w:bCs/>
        </w:rPr>
        <w:t xml:space="preserve">10. Agentic-commerce disintermediation debate.</w:t>
      </w:r>
      <w:r>
        <w:t xml:space="preserve"> </w:t>
      </w:r>
      <w:r>
        <w:t xml:space="preserve">A recurring investor worry (raised again by Goldman's Eric Sheridan and MoffettNathanson's Michael Morton on the Q1 call) is whether AI shopping agents disintermediate DoorDash. Tony Xu's counter is that historically, top-of-funnel platforms like Google Food Ordering drove significant traffic to delivery platforms but retained only a fraction of that traffic versus platforms like DoorDash, and he expects agentic tools to be partners driving a small share of traffic rather than a disintermediation threat.</w:t>
      </w:r>
    </w:p>
    <w:bookmarkEnd w:id="13"/>
    <w:bookmarkStart w:id="14" w:name="bull-case-vs-bear-case"/>
    <w:p>
      <w:pPr>
        <w:pStyle w:val="Heading2"/>
      </w:pPr>
      <w:r>
        <w:t xml:space="preserve">Bull Case vs. Bear Case</w:t>
      </w:r>
    </w:p>
    <w:p>
      <w:pPr>
        <w:pStyle w:val="FirstParagraph"/>
      </w:pPr>
      <w:r>
        <w:rPr>
          <w:b/>
          <w:bCs/>
        </w:rPr>
        <w:t xml:space="preserve">Bull case:</w:t>
      </w:r>
      <w:r>
        <w:t xml:space="preserve"> </w:t>
      </w:r>
      <w:r>
        <w:t xml:space="preserve">Membership flywheel intact — Y/Y growth in U.S. DashPass members accelerated in Q1 2026 driven by strong sign-ups and reduced churn, with similar acceleration in international membership programs; share gains continue in restaurant, grocery and international; ads scaling as a high-margin offset; Deliveroo integration ahead of plan; full-year EBITDA margin framework unchanged despite gas-relief costs; optionality from DoorDash Air/autonomy.</w:t>
      </w:r>
    </w:p>
    <w:p>
      <w:pPr>
        <w:pStyle w:val="BodyText"/>
      </w:pPr>
      <w:r>
        <w:rPr>
          <w:b/>
          <w:bCs/>
        </w:rPr>
        <w:t xml:space="preserve">Bear case:</w:t>
      </w:r>
      <w:r>
        <w:t xml:space="preserve"> </w:t>
      </w:r>
      <w:r>
        <w:t xml:space="preserve">DoorDash has missed Wall Street's revenue estimates multiple times over the last two years, and net revenue margin has been drifting lower (12.8% in Q1 vs. 13.1% a year ago) as mix shifts toward lower-margin grocery/new verticals and Deliveroo. Elevated gas prices could force a costlier or longer-running Dasher relief program, GAAP net income actually fell year-over-year in Q1, and the stock's rich valuation (average target ~$245 but with several analysts trimming fair-value estimates recently — one model cites a fair value of roughly $250.93 DoorDash's implied fair value in the model has edged down by about $1 to roughly</w:t>
      </w:r>
      <w:r>
        <w:t xml:space="preserve"> </w:t>
      </w:r>
      <m:oMath>
        <m:r>
          <m:t>250.93</m:t>
        </m:r>
        <m:r>
          <m:rPr>
            <m:sty m:val="p"/>
          </m:rPr>
          <m:t>,</m:t>
        </m:r>
        <m:r>
          <m:t>a</m:t>
        </m:r>
        <m:r>
          <m:t>s</m:t>
        </m:r>
        <m:r>
          <m:t>a</m:t>
        </m:r>
        <m:r>
          <m:t>n</m:t>
        </m:r>
        <m:r>
          <m:t>a</m:t>
        </m:r>
        <m:r>
          <m:t>l</m:t>
        </m:r>
        <m:r>
          <m:t>y</m:t>
        </m:r>
        <m:r>
          <m:t>s</m:t>
        </m:r>
        <m:r>
          <m:t>t</m:t>
        </m:r>
        <m:r>
          <m:t>s</m:t>
        </m:r>
        <m:r>
          <m:t>b</m:t>
        </m:r>
        <m:r>
          <m:t>r</m:t>
        </m:r>
        <m:r>
          <m:t>o</m:t>
        </m:r>
        <m:r>
          <m:t>a</m:t>
        </m:r>
        <m:r>
          <m:t>d</m:t>
        </m:r>
        <m:r>
          <m:t>l</m:t>
        </m:r>
        <m:r>
          <m:t>y</m:t>
        </m:r>
        <m:r>
          <m:t>r</m:t>
        </m:r>
        <m:r>
          <m:t>e</m:t>
        </m:r>
        <m:r>
          <m:t>c</m:t>
        </m:r>
        <m:r>
          <m:t>a</m:t>
        </m:r>
        <m:r>
          <m:t>l</m:t>
        </m:r>
        <m:r>
          <m:t>i</m:t>
        </m:r>
        <m:r>
          <m:t>b</m:t>
        </m:r>
        <m:r>
          <m:t>r</m:t>
        </m:r>
        <m:r>
          <m:t>a</m:t>
        </m:r>
        <m:r>
          <m:t>t</m:t>
        </m:r>
        <m:r>
          <m:t>e</m:t>
        </m:r>
        <m:r>
          <m:t>d</m:t>
        </m:r>
        <m:r>
          <m:t>p</m:t>
        </m:r>
        <m:r>
          <m:t>r</m:t>
        </m:r>
        <m:r>
          <m:t>i</m:t>
        </m:r>
        <m:r>
          <m:t>c</m:t>
        </m:r>
        <m:r>
          <m:t>e</m:t>
        </m:r>
        <m:r>
          <m:t>t</m:t>
        </m:r>
        <m:r>
          <m:t>a</m:t>
        </m:r>
        <m:r>
          <m:t>r</m:t>
        </m:r>
        <m:r>
          <m:t>g</m:t>
        </m:r>
        <m:r>
          <m:t>e</m:t>
        </m:r>
        <m:r>
          <m:t>t</m:t>
        </m:r>
        <m:r>
          <m:t>s</m:t>
        </m:r>
        <m:r>
          <m:t>u</m:t>
        </m:r>
        <m:r>
          <m:t>s</m:t>
        </m:r>
        <m:r>
          <m:t>i</m:t>
        </m:r>
        <m:r>
          <m:t>n</m:t>
        </m:r>
        <m:r>
          <m:t>g</m:t>
        </m:r>
        <m:r>
          <m:t>s</m:t>
        </m:r>
        <m:r>
          <m:t>l</m:t>
        </m:r>
        <m:r>
          <m:t>i</m:t>
        </m:r>
        <m:r>
          <m:t>g</m:t>
        </m:r>
        <m:r>
          <m:t>h</m:t>
        </m:r>
        <m:r>
          <m:t>t</m:t>
        </m:r>
        <m:r>
          <m:t>l</m:t>
        </m:r>
        <m:r>
          <m:t>y</m:t>
        </m:r>
        <m:r>
          <m:t>l</m:t>
        </m:r>
        <m:r>
          <m:t>o</m:t>
        </m:r>
        <m:r>
          <m:t>w</m:t>
        </m:r>
        <m:r>
          <m:t>e</m:t>
        </m:r>
        <m:r>
          <m:t>r</m:t>
        </m:r>
        <m:r>
          <m:t>P</m:t>
        </m:r>
        <m:r>
          <m:rPr>
            <m:sty m:val="p"/>
          </m:rPr>
          <m:t>/</m:t>
        </m:r>
        <m:r>
          <m:t>E</m:t>
        </m:r>
        <m:r>
          <m:t>m</m:t>
        </m:r>
        <m:r>
          <m:t>u</m:t>
        </m:r>
        <m:r>
          <m:t>l</m:t>
        </m:r>
        <m:r>
          <m:t>t</m:t>
        </m:r>
        <m:r>
          <m:t>i</m:t>
        </m:r>
        <m:r>
          <m:t>p</m:t>
        </m:r>
        <m:r>
          <m:t>l</m:t>
        </m:r>
        <m:r>
          <m:t>e</m:t>
        </m:r>
        <m:r>
          <m:t>s</m:t>
        </m:r>
        <m:r>
          <m:t>a</m:t>
        </m:r>
        <m:r>
          <m:t>n</m:t>
        </m:r>
        <m:r>
          <m:t>d</m:t>
        </m:r>
        <m:r>
          <m:t>h</m:t>
        </m:r>
        <m:r>
          <m:t>i</m:t>
        </m:r>
        <m:r>
          <m:t>g</m:t>
        </m:r>
        <m:r>
          <m:t>h</m:t>
        </m:r>
        <m:r>
          <m:t>e</m:t>
        </m:r>
        <m:r>
          <m:t>r</m:t>
        </m:r>
        <m:r>
          <m:t>o</m:t>
        </m:r>
        <m:r>
          <m:t>n</m:t>
        </m:r>
        <m:r>
          <m:t>g</m:t>
        </m:r>
        <m:r>
          <m:t>o</m:t>
        </m:r>
        <m:r>
          <m:t>i</m:t>
        </m:r>
        <m:r>
          <m:t>n</m:t>
        </m:r>
        <m:r>
          <m:t>g</m:t>
        </m:r>
        <m:r>
          <m:t>i</m:t>
        </m:r>
        <m:r>
          <m:t>n</m:t>
        </m:r>
        <m:r>
          <m:t>v</m:t>
        </m:r>
        <m:r>
          <m:t>e</m:t>
        </m:r>
        <m:r>
          <m:t>s</m:t>
        </m:r>
        <m:r>
          <m:t>t</m:t>
        </m:r>
        <m:r>
          <m:t>m</m:t>
        </m:r>
        <m:r>
          <m:t>e</m:t>
        </m:r>
        <m:r>
          <m:t>n</m:t>
        </m:r>
        <m:r>
          <m:t>t</m:t>
        </m:r>
        <m:r>
          <m:t>a</m:t>
        </m:r>
        <m:r>
          <m:t>s</m:t>
        </m:r>
        <m:r>
          <m:t>s</m:t>
        </m:r>
        <m:r>
          <m:t>u</m:t>
        </m:r>
        <m:r>
          <m:t>m</m:t>
        </m:r>
        <m:r>
          <m:t>p</m:t>
        </m:r>
        <m:r>
          <m:t>t</m:t>
        </m:r>
        <m:r>
          <m:t>i</m:t>
        </m:r>
        <m:r>
          <m:t>o</m:t>
        </m:r>
        <m:r>
          <m:t>n</m:t>
        </m:r>
        <m:r>
          <m:t>s</m:t>
        </m:r>
        <m:r>
          <m:rPr>
            <m:sty m:val="p"/>
          </m:rPr>
          <m:t>)</m:t>
        </m:r>
        <m:r>
          <m:t>l</m:t>
        </m:r>
        <m:r>
          <m:t>e</m:t>
        </m:r>
        <m:r>
          <m:t>a</m:t>
        </m:r>
        <m:r>
          <m:t>v</m:t>
        </m:r>
        <m:r>
          <m:t>e</m:t>
        </m:r>
        <m:r>
          <m:t>s</m:t>
        </m:r>
        <m:r>
          <m:t>l</m:t>
        </m:r>
        <m:r>
          <m:t>i</m:t>
        </m:r>
        <m:r>
          <m:t>t</m:t>
        </m:r>
        <m:r>
          <m:t>t</m:t>
        </m:r>
        <m:r>
          <m:t>l</m:t>
        </m:r>
        <m:r>
          <m:t>e</m:t>
        </m:r>
        <m:r>
          <m:t>r</m:t>
        </m:r>
        <m:r>
          <m:t>o</m:t>
        </m:r>
        <m:r>
          <m:t>o</m:t>
        </m:r>
        <m:r>
          <m:t>m</m:t>
        </m:r>
        <m:r>
          <m:t>f</m:t>
        </m:r>
        <m:r>
          <m:t>o</m:t>
        </m:r>
        <m:r>
          <m:t>r</m:t>
        </m:r>
        <m:r>
          <m:t>a</m:t>
        </m:r>
        <m:r>
          <m:t>g</m:t>
        </m:r>
        <m:r>
          <m:t>u</m:t>
        </m:r>
        <m:r>
          <m:t>i</m:t>
        </m:r>
        <m:r>
          <m:t>d</m:t>
        </m:r>
        <m:r>
          <m:t>a</m:t>
        </m:r>
        <m:r>
          <m:t>n</m:t>
        </m:r>
        <m:r>
          <m:t>c</m:t>
        </m:r>
        <m:r>
          <m:t>e</m:t>
        </m:r>
        <m:r>
          <m:t>d</m:t>
        </m:r>
        <m:r>
          <m:t>i</m:t>
        </m:r>
        <m:r>
          <m:t>s</m:t>
        </m:r>
        <m:r>
          <m:t>a</m:t>
        </m:r>
        <m:r>
          <m:t>p</m:t>
        </m:r>
        <m:r>
          <m:t>p</m:t>
        </m:r>
        <m:r>
          <m:t>o</m:t>
        </m:r>
        <m:r>
          <m:t>i</m:t>
        </m:r>
        <m:r>
          <m:t>n</m:t>
        </m:r>
        <m:r>
          <m:t>t</m:t>
        </m:r>
        <m:r>
          <m:t>m</m:t>
        </m:r>
        <m:r>
          <m:t>e</m:t>
        </m:r>
        <m:r>
          <m:t>n</m:t>
        </m:r>
        <m:r>
          <m:t>t</m:t>
        </m:r>
        <m:r>
          <m:rPr>
            <m:sty m:val="p"/>
          </m:rPr>
          <m:t>.</m:t>
        </m:r>
        <m:r>
          <m:t>O</m:t>
        </m:r>
        <m:r>
          <m:t>n</m:t>
        </m:r>
        <m:r>
          <m:t>e</m:t>
        </m:r>
        <m:r>
          <m:t>s</m:t>
        </m:r>
        <m:r>
          <m:t>k</m:t>
        </m:r>
        <m:r>
          <m:t>e</m:t>
        </m:r>
        <m:r>
          <m:t>p</m:t>
        </m:r>
        <m:r>
          <m:t>t</m:t>
        </m:r>
        <m:r>
          <m:t>i</m:t>
        </m:r>
        <m:r>
          <m:t>c</m:t>
        </m:r>
        <m:r>
          <m:t>a</m:t>
        </m:r>
        <m:r>
          <m:t>l</m:t>
        </m:r>
        <m:r>
          <m:t>m</m:t>
        </m:r>
        <m:r>
          <m:t>o</m:t>
        </m:r>
        <m:r>
          <m:t>d</m:t>
        </m:r>
        <m:r>
          <m:t>e</m:t>
        </m:r>
        <m:r>
          <m:t>l</m:t>
        </m:r>
        <m:r>
          <m:t>e</m:t>
        </m:r>
        <m:r>
          <m:t>v</m:t>
        </m:r>
        <m:r>
          <m:t>e</m:t>
        </m:r>
        <m:r>
          <m:t>n</m:t>
        </m:r>
        <m:r>
          <m:t>a</m:t>
        </m:r>
        <m:r>
          <m:t>r</m:t>
        </m:r>
        <m:r>
          <m:t>g</m:t>
        </m:r>
        <m:r>
          <m:t>u</m:t>
        </m:r>
        <m:r>
          <m:t>e</m:t>
        </m:r>
        <m:r>
          <m:t>s</m:t>
        </m:r>
        <m:r>
          <m:t>d</m:t>
        </m:r>
        <m:r>
          <m:t>o</m:t>
        </m:r>
        <m:r>
          <m:t>w</m:t>
        </m:r>
        <m:r>
          <m:t>n</m:t>
        </m:r>
        <m:r>
          <m:t>s</m:t>
        </m:r>
        <m:r>
          <m:t>i</m:t>
        </m:r>
        <m:r>
          <m:t>d</m:t>
        </m:r>
        <m:r>
          <m:t>e</m:t>
        </m:r>
        <m:r>
          <m:t>t</m:t>
        </m:r>
        <m:r>
          <m:t>o</m:t>
        </m:r>
        <m:r>
          <m:rPr>
            <m:sty m:val="p"/>
          </m:rPr>
          <m:t>*</m:t>
        </m:r>
        <m:r>
          <m:rPr>
            <m:sty m:val="p"/>
          </m:rPr>
          <m:t>*</m:t>
        </m:r>
      </m:oMath>
      <w:r>
        <w:t xml:space="preserve">155.60**, roughly 20% below current levels, if growth assumptions prove too optimistic.</w:t>
      </w:r>
    </w:p>
    <w:bookmarkEnd w:id="14"/>
    <w:bookmarkStart w:id="15" w:name="key-numbers-to-track-tomorrow"/>
    <w:p>
      <w:pPr>
        <w:pStyle w:val="Heading2"/>
      </w:pPr>
      <w:r>
        <w:t xml:space="preserve">Key Numbers to Track Tomorrow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r>
              <w:t xml:space="preserve">Q2 2026 Guide/Consensus</w:t>
            </w:r>
          </w:p>
        </w:tc>
      </w:tr>
      <w:tr>
        <w:tc>
          <w:tcPr/>
          <w:p>
            <w:pPr>
              <w:pStyle w:val="Compact"/>
            </w:pPr>
            <w:r>
              <w:t xml:space="preserve">Marketplace GOV (guide)</w:t>
            </w:r>
          </w:p>
        </w:tc>
        <w:tc>
          <w:tcPr/>
          <w:p>
            <w:pPr>
              <w:pStyle w:val="Compact"/>
            </w:pPr>
            <m:oMath>
              <m:r>
                <m:t>32.4</m:t>
              </m:r>
              <m:r>
                <m:t>B</m:t>
              </m:r>
              <m:r>
                <m:rPr>
                  <m:sty m:val="p"/>
                </m:rPr>
                <m:t>–</m:t>
              </m:r>
            </m:oMath>
            <w:r>
              <w:t xml:space="preserve">33.4B</w:t>
            </w:r>
          </w:p>
        </w:tc>
      </w:tr>
      <w:tr>
        <w:tc>
          <w:tcPr/>
          <w:p>
            <w:pPr>
              <w:pStyle w:val="Compact"/>
            </w:pPr>
            <w:r>
              <w:t xml:space="preserve">Adjusted EBITDA (guide)</w:t>
            </w:r>
          </w:p>
        </w:tc>
        <w:tc>
          <w:tcPr/>
          <w:p>
            <w:pPr>
              <w:pStyle w:val="Compact"/>
            </w:pPr>
            <m:oMath>
              <m:r>
                <m:t>770</m:t>
              </m:r>
              <m:r>
                <m:t>M</m:t>
              </m:r>
              <m:r>
                <m:rPr>
                  <m:sty m:val="p"/>
                </m:rPr>
                <m:t>–</m:t>
              </m:r>
            </m:oMath>
            <w:r>
              <w:t xml:space="preserve">870M</w:t>
            </w:r>
          </w:p>
        </w:tc>
      </w:tr>
      <w:tr>
        <w:tc>
          <w:tcPr/>
          <w:p>
            <w:pPr>
              <w:pStyle w:val="Compact"/>
            </w:pPr>
            <w:r>
              <w:t xml:space="preserve">Revenue (consensus)</w:t>
            </w:r>
          </w:p>
        </w:tc>
        <w:tc>
          <w:tcPr/>
          <w:p>
            <w:pPr>
              <w:pStyle w:val="Compact"/>
            </w:pPr>
            <w:r>
              <w:t xml:space="preserve">~</w:t>
            </w:r>
            <m:oMath>
              <m:r>
                <m:t>4.32</m:t>
              </m:r>
              <m:r>
                <m:t>B</m:t>
              </m:r>
              <m:r>
                <m:rPr>
                  <m:sty m:val="p"/>
                </m:rPr>
                <m:t>–</m:t>
              </m:r>
            </m:oMath>
            <w:r>
              <w:t xml:space="preserve">4.33B (+31–32% Y/Y)</w:t>
            </w:r>
          </w:p>
        </w:tc>
      </w:tr>
      <w:tr>
        <w:tc>
          <w:tcPr/>
          <w:p>
            <w:pPr>
              <w:pStyle w:val="Compact"/>
            </w:pPr>
            <w:r>
              <w:t xml:space="preserve">EPS (consensus)</w:t>
            </w:r>
          </w:p>
        </w:tc>
        <w:tc>
          <w:tcPr/>
          <w:p>
            <w:pPr>
              <w:pStyle w:val="Compact"/>
            </w:pPr>
            <w:r>
              <w:t xml:space="preserve">~$0.50 (-23% Y/Y)</w:t>
            </w:r>
          </w:p>
        </w:tc>
      </w:tr>
      <w:tr>
        <w:tc>
          <w:tcPr/>
          <w:p>
            <w:pPr>
              <w:pStyle w:val="Compact"/>
            </w:pPr>
            <w:r>
              <w:t xml:space="preserve">Total Orders (consensus)</w:t>
            </w:r>
          </w:p>
        </w:tc>
        <w:tc>
          <w:tcPr/>
          <w:p>
            <w:pPr>
              <w:pStyle w:val="Compact"/>
            </w:pPr>
            <w:r>
              <w:t xml:space="preserve">~974M (+27.9% Y/Y)</w:t>
            </w:r>
          </w:p>
        </w:tc>
      </w:tr>
      <w:tr>
        <w:tc>
          <w:tcPr/>
          <w:p>
            <w:pPr>
              <w:pStyle w:val="Compact"/>
            </w:pPr>
            <w:r>
              <w:t xml:space="preserve">Gas relief program cost</w:t>
            </w:r>
          </w:p>
        </w:tc>
        <w:tc>
          <w:tcPr/>
          <w:p>
            <w:pPr>
              <w:pStyle w:val="Compact"/>
            </w:pPr>
            <w:r>
              <w:t xml:space="preserve">&gt;$50M gross impact</w:t>
            </w:r>
          </w:p>
        </w:tc>
      </w:tr>
    </w:tbl>
    <w:bookmarkEnd w:id="15"/>
    <w:bookmarkStart w:id="16" w:name="bottom-line"/>
    <w:p>
      <w:pPr>
        <w:pStyle w:val="Heading2"/>
      </w:pPr>
      <w:r>
        <w:t xml:space="preserve">Bottom Line</w:t>
      </w:r>
    </w:p>
    <w:p>
      <w:pPr>
        <w:pStyle w:val="FirstParagraph"/>
      </w:pPr>
      <w:r>
        <w:t xml:space="preserve">Going into this print, the debate isn't really about near-term demand — MAUs, DashPass sign-ups, and order frequency all look healthy — it's about</w:t>
      </w:r>
      <w:r>
        <w:t xml:space="preserve"> </w:t>
      </w:r>
      <w:r>
        <w:rPr>
          <w:b/>
          <w:bCs/>
        </w:rPr>
        <w:t xml:space="preserve">margin durability</w:t>
      </w:r>
      <w:r>
        <w:t xml:space="preserve"> </w:t>
      </w:r>
      <w:r>
        <w:t xml:space="preserve">amid rising Dasher incentive costs, triple-tech-stack replatforming spend, and Deliveroo integration, set against a stock that has already re-rated meaningfully off its spring lows and carries a "Strong Buy" consensus with a ~20%+ implied upside to the average price target. A GOV/EBITDA beat-and-raise, paired with clarity on whether the gas-relief program persists into Q3, would likely be the difference between another guidance-driven rally (as in May) and a "sell the news" reaction given how much good news may already be priced in.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2026-08-05T00:53:49Z</dcterms:created>
  <dcterms:modified xsi:type="dcterms:W3CDTF">2026-08-05T00:53:49Z</dcterms:modified>
</cp:coreProperties>
</file>

<file path=docProps/custom.xml><?xml version="1.0" encoding="utf-8"?>
<Properties xmlns="http://schemas.openxmlformats.org/officeDocument/2006/custom-properties" xmlns:vt="http://schemas.openxmlformats.org/officeDocument/2006/docPropsVTypes"/>
</file>