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doordash-dash--q2-2026-earnings-preview"/>
    <w:p>
      <w:pPr>
        <w:pStyle w:val="Heading1"/>
      </w:pPr>
      <w:r>
        <w:t xml:space="preserve">DoorDash (DASH) — Q2 2026 Earnings Preview</w:t>
      </w:r>
    </w:p>
    <w:p>
      <w:pPr>
        <w:pStyle w:val="BlockText"/>
      </w:pPr>
      <w:r>
        <w:rPr>
          <w:b/>
          <w:bCs/>
        </w:rPr>
        <w:t xml:space="preserve">Timing note:</w:t>
      </w:r>
      <w:r>
        <w:t xml:space="preserve"> </w:t>
      </w:r>
      <w:r>
        <w:t xml:space="preserve">DoorDash is scheduled to release results</w:t>
      </w:r>
      <w:r>
        <w:t xml:space="preserve"> </w:t>
      </w:r>
      <w:r>
        <w:rPr>
          <w:b/>
          <w:bCs/>
        </w:rPr>
        <w:t xml:space="preserve">after the market closes today, Wednesday, August 5, 2026</w:t>
      </w:r>
      <w:r>
        <w:t xml:space="preserve">, followed by its earnings call at</w:t>
      </w:r>
      <w:r>
        <w:t xml:space="preserve"> </w:t>
      </w:r>
      <w:r>
        <w:rPr>
          <w:b/>
          <w:bCs/>
        </w:rPr>
        <w:t xml:space="preserve">4:30 p.m. ET</w:t>
      </w:r>
      <w:r>
        <w:t xml:space="preserve">. The date supplied is today rather than tomorrow.</w:t>
      </w:r>
    </w:p>
    <w:bookmarkStart w:id="9" w:name="executive-view"/>
    <w:p>
      <w:pPr>
        <w:pStyle w:val="Heading2"/>
      </w:pPr>
      <w:r>
        <w:t xml:space="preserve">Executive view</w:t>
      </w:r>
    </w:p>
    <w:p>
      <w:pPr>
        <w:pStyle w:val="FirstParagraph"/>
      </w:pPr>
      <w:r>
        <w:t xml:space="preserve">DoorDash enters Q2 with excellent operating momentum—and a demanding valuation and expectations setup.</w:t>
      </w:r>
    </w:p>
    <w:p>
      <w:pPr>
        <w:pStyle w:val="BodyText"/>
      </w:pPr>
      <w:r>
        <w:t xml:space="preserve">The central question is no longer whether DoorDash can grow. Instead, investors need to determine whether the company can maintain strong</w:t>
      </w:r>
      <w:r>
        <w:t xml:space="preserve"> </w:t>
      </w:r>
      <w:r>
        <w:rPr>
          <w:b/>
          <w:bCs/>
        </w:rPr>
        <w:t xml:space="preserve">organic</w:t>
      </w:r>
      <w:r>
        <w:t xml:space="preserve"> </w:t>
      </w:r>
      <w:r>
        <w:t xml:space="preserve">growth while simultaneously absorbing Deliveroo, funding a global technology rebuild, expanding grocery and retail, and preserving margin expansion.</w:t>
      </w:r>
    </w:p>
    <w:p>
      <w:pPr>
        <w:pStyle w:val="BodyText"/>
      </w:pPr>
      <w:r>
        <w:t xml:space="preserve">A respectable quarter may not be enough. With the stock recently around</w:t>
      </w:r>
      <w:r>
        <w:t xml:space="preserve"> </w:t>
      </w:r>
      <w:r>
        <w:rPr>
          <w:b/>
          <w:bCs/>
        </w:rPr>
        <w:t xml:space="preserve">$202</w:t>
      </w:r>
      <w:r>
        <w:t xml:space="preserve">, approximately 22% above its May 5 close and near the upper end of its recent range, the market appears positioned for:</w:t>
      </w:r>
    </w:p>
    <w:p>
      <w:pPr>
        <w:pStyle w:val="Compact"/>
        <w:numPr>
          <w:ilvl w:val="0"/>
          <w:numId w:val="1001"/>
        </w:numPr>
      </w:pPr>
      <w:r>
        <w:t xml:space="preserve">Marketplace GOV near or above the high end of guidance.</w:t>
      </w:r>
    </w:p>
    <w:p>
      <w:pPr>
        <w:pStyle w:val="Compact"/>
        <w:numPr>
          <w:ilvl w:val="0"/>
          <w:numId w:val="1001"/>
        </w:numPr>
      </w:pPr>
      <w:r>
        <w:t xml:space="preserve">Continued strength in U.S. restaurant delivery.</w:t>
      </w:r>
    </w:p>
    <w:p>
      <w:pPr>
        <w:pStyle w:val="Compact"/>
        <w:numPr>
          <w:ilvl w:val="0"/>
          <w:numId w:val="1001"/>
        </w:numPr>
      </w:pPr>
      <w:r>
        <w:t xml:space="preserve">Evidence that Deliveroo integration is improving—not merely enlarging—the business.</w:t>
      </w:r>
    </w:p>
    <w:p>
      <w:pPr>
        <w:pStyle w:val="Compact"/>
        <w:numPr>
          <w:ilvl w:val="0"/>
          <w:numId w:val="1001"/>
        </w:numPr>
      </w:pPr>
      <w:r>
        <w:t xml:space="preserve">A credible path to better second-half margins and cash flow.</w:t>
      </w:r>
    </w:p>
    <w:p>
      <w:pPr>
        <w:pStyle w:val="Compact"/>
        <w:numPr>
          <w:ilvl w:val="0"/>
          <w:numId w:val="1001"/>
        </w:numPr>
      </w:pPr>
      <w:r>
        <w:t xml:space="preserve">No deterioration in consumer demand.</w:t>
      </w:r>
    </w:p>
    <w:p>
      <w:pPr>
        <w:pStyle w:val="FirstParagraph"/>
      </w:pPr>
      <w:r>
        <w:t xml:space="preserve">The</w:t>
      </w:r>
      <w:r>
        <w:t xml:space="preserve"> </w:t>
      </w:r>
      <w:r>
        <w:rPr>
          <w:b/>
          <w:bCs/>
        </w:rPr>
        <w:t xml:space="preserve">forward outlook will probably matter more than the reported quarter</w:t>
      </w:r>
      <w:r>
        <w:t xml:space="preserve">.</w:t>
      </w:r>
    </w:p>
    <w:p>
      <w:r>
        <w:pict>
          <v:rect style="width:0;height:1.5pt" o:hralign="center" o:hrstd="t" o:hr="t"/>
        </w:pict>
      </w:r>
    </w:p>
    <w:bookmarkEnd w:id="9"/>
    <w:bookmarkStart w:id="10" w:name="q2-setup"/>
    <w:p>
      <w:pPr>
        <w:pStyle w:val="Heading2"/>
      </w:pPr>
      <w:r>
        <w:t xml:space="preserve">Q2 setup</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2025 actual</w:t>
            </w:r>
          </w:p>
        </w:tc>
        <w:tc>
          <w:tcPr/>
          <w:p>
            <w:pPr>
              <w:pStyle w:val="Compact"/>
              <w:jc w:val="right"/>
            </w:pPr>
            <w:r>
              <w:t xml:space="preserve">Q1 2026 actual</w:t>
            </w:r>
          </w:p>
        </w:tc>
        <w:tc>
          <w:tcPr/>
          <w:p>
            <w:pPr>
              <w:pStyle w:val="Compact"/>
              <w:jc w:val="right"/>
            </w:pPr>
            <w:r>
              <w:t xml:space="preserve">Q2 2026 reference point</w:t>
            </w:r>
          </w:p>
        </w:tc>
      </w:tr>
      <w:tr>
        <w:tc>
          <w:tcPr/>
          <w:p>
            <w:pPr>
              <w:pStyle w:val="Compact"/>
            </w:pPr>
            <w:r>
              <w:t xml:space="preserve">Total Orders</w:t>
            </w:r>
          </w:p>
        </w:tc>
        <w:tc>
          <w:tcPr/>
          <w:p>
            <w:pPr>
              <w:pStyle w:val="Compact"/>
              <w:jc w:val="right"/>
            </w:pPr>
            <w:r>
              <w:t xml:space="preserve">761 million</w:t>
            </w:r>
          </w:p>
        </w:tc>
        <w:tc>
          <w:tcPr/>
          <w:p>
            <w:pPr>
              <w:pStyle w:val="Compact"/>
              <w:jc w:val="right"/>
            </w:pPr>
            <w:r>
              <w:t xml:space="preserve">933 million</w:t>
            </w:r>
          </w:p>
        </w:tc>
        <w:tc>
          <w:tcPr/>
          <w:p>
            <w:pPr>
              <w:pStyle w:val="Compact"/>
              <w:jc w:val="right"/>
            </w:pPr>
            <w:r>
              <w:t xml:space="preserve">No company guidance</w:t>
            </w:r>
          </w:p>
        </w:tc>
      </w:tr>
      <w:tr>
        <w:tc>
          <w:tcPr/>
          <w:p>
            <w:pPr>
              <w:pStyle w:val="Compact"/>
            </w:pPr>
            <w:r>
              <w:t xml:space="preserve">Marketplace GOV</w:t>
            </w:r>
          </w:p>
        </w:tc>
        <w:tc>
          <w:tcPr/>
          <w:p>
            <w:pPr>
              <w:pStyle w:val="Compact"/>
              <w:jc w:val="right"/>
            </w:pPr>
            <w:r>
              <w:t xml:space="preserve">$24.24 billion</w:t>
            </w:r>
          </w:p>
        </w:tc>
        <w:tc>
          <w:tcPr/>
          <w:p>
            <w:pPr>
              <w:pStyle w:val="Compact"/>
              <w:jc w:val="right"/>
            </w:pPr>
            <w:r>
              <w:t xml:space="preserve">$31.60 billion</w:t>
            </w:r>
          </w:p>
        </w:tc>
        <w:tc>
          <w:tcPr/>
          <w:p>
            <w:pPr>
              <w:pStyle w:val="Compact"/>
              <w:jc w:val="right"/>
            </w:pPr>
            <m:oMath>
              <m:r>
                <m:t>32.4</m:t>
              </m:r>
              <m:r>
                <m:rPr>
                  <m:sty m:val="p"/>
                </m:rPr>
                <m:t>–</m:t>
              </m:r>
            </m:oMath>
            <w:r>
              <w:rPr>
                <w:b/>
                <w:bCs/>
              </w:rPr>
              <w:t xml:space="preserve">33.4 billion guidance</w:t>
            </w:r>
          </w:p>
        </w:tc>
      </w:tr>
      <w:tr>
        <w:tc>
          <w:tcPr/>
          <w:p>
            <w:pPr>
              <w:pStyle w:val="Compact"/>
            </w:pPr>
            <w:r>
              <w:t xml:space="preserve">Revenue</w:t>
            </w:r>
          </w:p>
        </w:tc>
        <w:tc>
          <w:tcPr/>
          <w:p>
            <w:pPr>
              <w:pStyle w:val="Compact"/>
              <w:jc w:val="right"/>
            </w:pPr>
            <w:r>
              <w:t xml:space="preserve">$3.28 billion</w:t>
            </w:r>
          </w:p>
        </w:tc>
        <w:tc>
          <w:tcPr/>
          <w:p>
            <w:pPr>
              <w:pStyle w:val="Compact"/>
              <w:jc w:val="right"/>
            </w:pPr>
            <w:r>
              <w:t xml:space="preserve">$4.04 billion</w:t>
            </w:r>
          </w:p>
        </w:tc>
        <w:tc>
          <w:tcPr/>
          <w:p>
            <w:pPr>
              <w:pStyle w:val="Compact"/>
              <w:jc w:val="right"/>
            </w:pPr>
            <w:r>
              <w:rPr>
                <w:b/>
                <w:bCs/>
              </w:rPr>
              <w:t xml:space="preserve">Approximately $4.33 billion Street expectation</w:t>
            </w:r>
          </w:p>
        </w:tc>
      </w:tr>
      <w:tr>
        <w:tc>
          <w:tcPr/>
          <w:p>
            <w:pPr>
              <w:pStyle w:val="Compact"/>
            </w:pPr>
            <w:r>
              <w:t xml:space="preserve">Adjusted EBITDA</w:t>
            </w:r>
          </w:p>
        </w:tc>
        <w:tc>
          <w:tcPr/>
          <w:p>
            <w:pPr>
              <w:pStyle w:val="Compact"/>
              <w:jc w:val="right"/>
            </w:pPr>
            <w:r>
              <w:t xml:space="preserve">$655 million</w:t>
            </w:r>
          </w:p>
        </w:tc>
        <w:tc>
          <w:tcPr/>
          <w:p>
            <w:pPr>
              <w:pStyle w:val="Compact"/>
              <w:jc w:val="right"/>
            </w:pPr>
            <w:r>
              <w:t xml:space="preserve">$754 million</w:t>
            </w:r>
          </w:p>
        </w:tc>
        <w:tc>
          <w:tcPr/>
          <w:p>
            <w:pPr>
              <w:pStyle w:val="Compact"/>
              <w:jc w:val="right"/>
            </w:pPr>
            <m:oMath>
              <m:r>
                <m:t>770</m:t>
              </m:r>
              <m:r>
                <m:rPr>
                  <m:sty m:val="p"/>
                </m:rPr>
                <m:t>–</m:t>
              </m:r>
            </m:oMath>
            <w:r>
              <w:rPr>
                <w:b/>
                <w:bCs/>
              </w:rPr>
              <w:t xml:space="preserve">870 million guidance</w:t>
            </w:r>
          </w:p>
        </w:tc>
      </w:tr>
      <w:tr>
        <w:tc>
          <w:tcPr/>
          <w:p>
            <w:pPr>
              <w:pStyle w:val="Compact"/>
            </w:pPr>
            <w:r>
              <w:t xml:space="preserve">Adjusted EBITDA / GOV</w:t>
            </w:r>
          </w:p>
        </w:tc>
        <w:tc>
          <w:tcPr/>
          <w:p>
            <w:pPr>
              <w:pStyle w:val="Compact"/>
              <w:jc w:val="right"/>
            </w:pPr>
            <w:r>
              <w:t xml:space="preserve">2.7%</w:t>
            </w:r>
          </w:p>
        </w:tc>
        <w:tc>
          <w:tcPr/>
          <w:p>
            <w:pPr>
              <w:pStyle w:val="Compact"/>
              <w:jc w:val="right"/>
            </w:pPr>
            <w:r>
              <w:t xml:space="preserve">2.4%</w:t>
            </w:r>
          </w:p>
        </w:tc>
        <w:tc>
          <w:tcPr/>
          <w:p>
            <w:pPr>
              <w:pStyle w:val="Compact"/>
              <w:jc w:val="right"/>
            </w:pPr>
            <w:r>
              <w:t xml:space="preserve">About</w:t>
            </w:r>
            <w:r>
              <w:t xml:space="preserve"> </w:t>
            </w:r>
            <w:r>
              <w:rPr>
                <w:b/>
                <w:bCs/>
              </w:rPr>
              <w:t xml:space="preserve">2.5% at guidance midpoints</w:t>
            </w:r>
          </w:p>
        </w:tc>
      </w:tr>
      <w:tr>
        <w:tc>
          <w:tcPr/>
          <w:p>
            <w:pPr>
              <w:pStyle w:val="Compact"/>
            </w:pPr>
            <w:r>
              <w:t xml:space="preserve">Free cash flow</w:t>
            </w:r>
          </w:p>
        </w:tc>
        <w:tc>
          <w:tcPr/>
          <w:p>
            <w:pPr>
              <w:pStyle w:val="Compact"/>
              <w:jc w:val="right"/>
            </w:pPr>
            <w:r>
              <w:t xml:space="preserve">$355 million</w:t>
            </w:r>
          </w:p>
        </w:tc>
        <w:tc>
          <w:tcPr/>
          <w:p>
            <w:pPr>
              <w:pStyle w:val="Compact"/>
              <w:jc w:val="right"/>
            </w:pPr>
            <w:r>
              <w:t xml:space="preserve">$420 million</w:t>
            </w:r>
          </w:p>
        </w:tc>
        <w:tc>
          <w:tcPr/>
          <w:p>
            <w:pPr>
              <w:pStyle w:val="Compact"/>
              <w:jc w:val="right"/>
            </w:pPr>
            <w:r>
              <w:t xml:space="preserve">No company guidance</w:t>
            </w:r>
          </w:p>
        </w:tc>
      </w:tr>
    </w:tbl>
    <w:p>
      <w:pPr>
        <w:pStyle w:val="BodyText"/>
      </w:pPr>
      <w:r>
        <w:t xml:space="preserve">DoorDash’s GOV range implies approximately</w:t>
      </w:r>
      <w:r>
        <w:t xml:space="preserve"> </w:t>
      </w:r>
      <w:r>
        <w:rPr>
          <w:b/>
          <w:bCs/>
        </w:rPr>
        <w:t xml:space="preserve">34%–38% reported growth</w:t>
      </w:r>
      <w:r>
        <w:t xml:space="preserve">, although this comparison includes Deliveroo. Revenue expectations imply roughly</w:t>
      </w:r>
      <w:r>
        <w:t xml:space="preserve"> </w:t>
      </w:r>
      <w:r>
        <w:rPr>
          <w:b/>
          <w:bCs/>
        </w:rPr>
        <w:t xml:space="preserve">32% growth</w:t>
      </w:r>
      <w:r>
        <w:t xml:space="preserve">.</w:t>
      </w:r>
    </w:p>
    <w:p>
      <w:pPr>
        <w:pStyle w:val="BodyText"/>
      </w:pPr>
      <w:r>
        <w:t xml:space="preserve">The cleaner benchmark is DoorDash’s performance excluding Deliveroo. In Q1:</w:t>
      </w:r>
    </w:p>
    <w:p>
      <w:pPr>
        <w:pStyle w:val="Compact"/>
        <w:numPr>
          <w:ilvl w:val="0"/>
          <w:numId w:val="1002"/>
        </w:numPr>
      </w:pPr>
      <w:r>
        <w:t xml:space="preserve">Marketplace GOV grew</w:t>
      </w:r>
      <w:r>
        <w:t xml:space="preserve"> </w:t>
      </w:r>
      <w:r>
        <w:rPr>
          <w:b/>
          <w:bCs/>
        </w:rPr>
        <w:t xml:space="preserve">24%</w:t>
      </w:r>
      <w:r>
        <w:t xml:space="preserve"> </w:t>
      </w:r>
      <w:r>
        <w:t xml:space="preserve">excluding Deliveroo.</w:t>
      </w:r>
    </w:p>
    <w:p>
      <w:pPr>
        <w:pStyle w:val="Compact"/>
        <w:numPr>
          <w:ilvl w:val="0"/>
          <w:numId w:val="1002"/>
        </w:numPr>
      </w:pPr>
      <w:r>
        <w:t xml:space="preserve">Revenue grew</w:t>
      </w:r>
      <w:r>
        <w:t xml:space="preserve"> </w:t>
      </w:r>
      <w:r>
        <w:rPr>
          <w:b/>
          <w:bCs/>
        </w:rPr>
        <w:t xml:space="preserve">21%</w:t>
      </w:r>
      <w:r>
        <w:t xml:space="preserve"> </w:t>
      </w:r>
      <w:r>
        <w:t xml:space="preserve">excluding Deliveroo.</w:t>
      </w:r>
    </w:p>
    <w:p>
      <w:pPr>
        <w:pStyle w:val="Compact"/>
        <w:numPr>
          <w:ilvl w:val="0"/>
          <w:numId w:val="1002"/>
        </w:numPr>
      </w:pPr>
      <w:r>
        <w:t xml:space="preserve">Total Orders grew</w:t>
      </w:r>
      <w:r>
        <w:t xml:space="preserve"> </w:t>
      </w:r>
      <w:r>
        <w:rPr>
          <w:b/>
          <w:bCs/>
        </w:rPr>
        <w:t xml:space="preserve">16%</w:t>
      </w:r>
      <w:r>
        <w:t xml:space="preserve"> </w:t>
      </w:r>
      <w:r>
        <w:t xml:space="preserve">excluding Deliveroo.</w:t>
      </w:r>
    </w:p>
    <w:p>
      <w:pPr>
        <w:pStyle w:val="FirstParagraph"/>
      </w:pPr>
      <w:r>
        <w:t xml:space="preserve">Investors should look beyond consolidated growth and focus on whether those organic rates remain healthy.</w:t>
      </w:r>
    </w:p>
    <w:p>
      <w:r>
        <w:pict>
          <v:rect style="width:0;height:1.5pt" o:hralign="center" o:hrstd="t" o:hr="t"/>
        </w:pict>
      </w:r>
    </w:p>
    <w:bookmarkEnd w:id="10"/>
    <w:bookmarkStart w:id="21" w:name="what-matters-most"/>
    <w:p>
      <w:pPr>
        <w:pStyle w:val="Heading2"/>
      </w:pPr>
      <w:r>
        <w:t xml:space="preserve">What matters most</w:t>
      </w:r>
    </w:p>
    <w:bookmarkStart w:id="11" w:name="X20a74772c341537ae9e135536b99fd1221f70d7"/>
    <w:p>
      <w:pPr>
        <w:pStyle w:val="Heading3"/>
      </w:pPr>
      <w:r>
        <w:t xml:space="preserve">1. Organic growth beneath the Deliveroo contribution</w:t>
      </w:r>
    </w:p>
    <w:p>
      <w:pPr>
        <w:pStyle w:val="FirstParagraph"/>
      </w:pPr>
      <w:r>
        <w:t xml:space="preserve">Deliveroo makes headline growth less informative than it was historically. Q1 consolidated GOV rose 37%, but organic GOV growth was 24%; consolidated revenue rose 33%, versus 21% excluding Deliveroo.</w:t>
      </w:r>
    </w:p>
    <w:p>
      <w:pPr>
        <w:pStyle w:val="BodyText"/>
      </w:pPr>
      <w:r>
        <w:t xml:space="preserve">For Q2, the most valuable disclosures would be:</w:t>
      </w:r>
    </w:p>
    <w:p>
      <w:pPr>
        <w:pStyle w:val="Compact"/>
        <w:numPr>
          <w:ilvl w:val="0"/>
          <w:numId w:val="1003"/>
        </w:numPr>
      </w:pPr>
      <w:r>
        <w:t xml:space="preserve">GOV and revenue growth excluding Deliveroo.</w:t>
      </w:r>
    </w:p>
    <w:p>
      <w:pPr>
        <w:pStyle w:val="Compact"/>
        <w:numPr>
          <w:ilvl w:val="0"/>
          <w:numId w:val="1003"/>
        </w:numPr>
      </w:pPr>
      <w:r>
        <w:t xml:space="preserve">U.S. restaurant order and GOV trends.</w:t>
      </w:r>
    </w:p>
    <w:p>
      <w:pPr>
        <w:pStyle w:val="Compact"/>
        <w:numPr>
          <w:ilvl w:val="0"/>
          <w:numId w:val="1003"/>
        </w:numPr>
      </w:pPr>
      <w:r>
        <w:t xml:space="preserve">MAU growth and order-frequency trends.</w:t>
      </w:r>
    </w:p>
    <w:p>
      <w:pPr>
        <w:pStyle w:val="Compact"/>
        <w:numPr>
          <w:ilvl w:val="0"/>
          <w:numId w:val="1003"/>
        </w:numPr>
      </w:pPr>
      <w:r>
        <w:t xml:space="preserve">International growth excluding both acquisition and currency effects.</w:t>
      </w:r>
    </w:p>
    <w:p>
      <w:pPr>
        <w:pStyle w:val="Compact"/>
        <w:numPr>
          <w:ilvl w:val="0"/>
          <w:numId w:val="1003"/>
        </w:numPr>
      </w:pPr>
      <w:r>
        <w:t xml:space="preserve">Deliveroo’s contribution to revenue, GOV, and EBITDA.</w:t>
      </w:r>
    </w:p>
    <w:p>
      <w:pPr>
        <w:pStyle w:val="FirstParagraph"/>
      </w:pPr>
      <w:r>
        <w:t xml:space="preserve">A strong report would show that legacy DoorDash and Wolt remain robust even as Deliveroo becomes fully embedded in the comparisons.</w:t>
      </w:r>
    </w:p>
    <w:p>
      <w:pPr>
        <w:pStyle w:val="BodyText"/>
      </w:pPr>
      <w:r>
        <w:rPr>
          <w:b/>
          <w:bCs/>
        </w:rPr>
        <w:t xml:space="preserve">Positive signal:</w:t>
      </w:r>
      <w:r>
        <w:t xml:space="preserve"> </w:t>
      </w:r>
      <w:r>
        <w:t xml:space="preserve">Organic GOV growth remains around or above 20%, accompanied by healthy user and frequency trends.</w:t>
      </w:r>
    </w:p>
    <w:p>
      <w:pPr>
        <w:pStyle w:val="BodyText"/>
      </w:pPr>
      <w:r>
        <w:rPr>
          <w:b/>
          <w:bCs/>
        </w:rPr>
        <w:t xml:space="preserve">Concern:</w:t>
      </w:r>
      <w:r>
        <w:t xml:space="preserve"> </w:t>
      </w:r>
      <w:r>
        <w:t xml:space="preserve">Reported growth looks strong, but organic growth decelerates materially or management avoids providing enough detail to evaluate it.</w:t>
      </w:r>
    </w:p>
    <w:p>
      <w:r>
        <w:pict>
          <v:rect style="width:0;height:1.5pt" o:hralign="center" o:hrstd="t" o:hr="t"/>
        </w:pict>
      </w:r>
    </w:p>
    <w:bookmarkEnd w:id="11"/>
    <w:bookmarkStart w:id="12" w:name="X69bdbe3de1bc009dc37ea5fcb2cfe4e1ff945c4"/>
    <w:p>
      <w:pPr>
        <w:pStyle w:val="Heading3"/>
      </w:pPr>
      <w:r>
        <w:t xml:space="preserve">2. The quality of the GOV result</w:t>
      </w:r>
    </w:p>
    <w:p>
      <w:pPr>
        <w:pStyle w:val="FirstParagraph"/>
      </w:pPr>
      <w:r>
        <w:t xml:space="preserve">The midpoint of DoorDash’s Q2 GOV guidance is</w:t>
      </w:r>
      <w:r>
        <w:t xml:space="preserve"> </w:t>
      </w:r>
      <w:r>
        <w:rPr>
          <w:b/>
          <w:bCs/>
        </w:rPr>
        <w:t xml:space="preserve">$32.9 billion</w:t>
      </w:r>
      <w:r>
        <w:t xml:space="preserve">, only about 4% above Q1 despite normal seasonality and management’s statement that Q2 began well.</w:t>
      </w:r>
    </w:p>
    <w:p>
      <w:pPr>
        <w:pStyle w:val="BodyText"/>
      </w:pPr>
      <w:r>
        <w:t xml:space="preserve">The result will need to be assessed across three dimensions:</w:t>
      </w:r>
    </w:p>
    <w:p>
      <w:pPr>
        <w:pStyle w:val="Compact"/>
        <w:numPr>
          <w:ilvl w:val="0"/>
          <w:numId w:val="1004"/>
        </w:numPr>
      </w:pPr>
      <w:r>
        <w:rPr>
          <w:b/>
          <w:bCs/>
        </w:rPr>
        <w:t xml:space="preserve">Volume:</w:t>
      </w:r>
      <w:r>
        <w:t xml:space="preserve"> </w:t>
      </w:r>
      <w:r>
        <w:t xml:space="preserve">Total Orders and active-user growth.</w:t>
      </w:r>
    </w:p>
    <w:p>
      <w:pPr>
        <w:pStyle w:val="Compact"/>
        <w:numPr>
          <w:ilvl w:val="0"/>
          <w:numId w:val="1004"/>
        </w:numPr>
      </w:pPr>
      <w:r>
        <w:rPr>
          <w:b/>
          <w:bCs/>
        </w:rPr>
        <w:t xml:space="preserve">Engagement:</w:t>
      </w:r>
      <w:r>
        <w:t xml:space="preserve"> </w:t>
      </w:r>
      <w:r>
        <w:t xml:space="preserve">Order frequency, membership retention, and cohort behavior.</w:t>
      </w:r>
    </w:p>
    <w:p>
      <w:pPr>
        <w:pStyle w:val="Compact"/>
        <w:numPr>
          <w:ilvl w:val="0"/>
          <w:numId w:val="1004"/>
        </w:numPr>
      </w:pPr>
      <w:r>
        <w:rPr>
          <w:b/>
          <w:bCs/>
        </w:rPr>
        <w:t xml:space="preserve">Value per order:</w:t>
      </w:r>
      <w:r>
        <w:t xml:space="preserve"> </w:t>
      </w:r>
      <w:r>
        <w:t xml:space="preserve">Basket size, category mix, pricing, and foreign exchange.</w:t>
      </w:r>
    </w:p>
    <w:p>
      <w:pPr>
        <w:pStyle w:val="FirstParagraph"/>
      </w:pPr>
      <w:r>
        <w:t xml:space="preserve">Q1 order growth excluding Deliveroo was 16%, below organic GOV growth of 24%. Some of that difference reflected currency and order-value effects. Investors should watch whether Q2 growth remains broad-based rather than relying disproportionately on currency, mix, or acquired volume.</w:t>
      </w:r>
    </w:p>
    <w:p>
      <w:pPr>
        <w:pStyle w:val="BodyText"/>
      </w:pPr>
      <w:r>
        <w:t xml:space="preserve">Membership remains an important leading indicator. DoorDash reported record sign-ups, accelerating U.S. DashPass membership growth, reduced churn, and stronger international membership growth in Q1. Continued momentum would support retention and order-frequency durability.</w:t>
      </w:r>
    </w:p>
    <w:p>
      <w:r>
        <w:pict>
          <v:rect style="width:0;height:1.5pt" o:hralign="center" o:hrstd="t" o:hr="t"/>
        </w:pict>
      </w:r>
    </w:p>
    <w:bookmarkEnd w:id="12"/>
    <w:bookmarkStart w:id="13" w:name="X11a70dbe9b251d170f8e52850825c6017d0875a"/>
    <w:p>
      <w:pPr>
        <w:pStyle w:val="Heading3"/>
      </w:pPr>
      <w:r>
        <w:t xml:space="preserve">3. Margin performance—and the second-half promise</w:t>
      </w:r>
    </w:p>
    <w:p>
      <w:pPr>
        <w:pStyle w:val="FirstParagraph"/>
      </w:pPr>
      <w:r>
        <w:t xml:space="preserve">At the midpoint, Q2 guidance calls for:</w:t>
      </w:r>
    </w:p>
    <w:p>
      <w:pPr>
        <w:pStyle w:val="Compact"/>
        <w:numPr>
          <w:ilvl w:val="0"/>
          <w:numId w:val="1005"/>
        </w:numPr>
      </w:pPr>
      <w:r>
        <w:rPr>
          <w:b/>
          <w:bCs/>
        </w:rPr>
        <w:t xml:space="preserve">$32.9 billion of GOV</w:t>
      </w:r>
    </w:p>
    <w:p>
      <w:pPr>
        <w:pStyle w:val="Compact"/>
        <w:numPr>
          <w:ilvl w:val="0"/>
          <w:numId w:val="1005"/>
        </w:numPr>
      </w:pPr>
      <w:r>
        <w:rPr>
          <w:b/>
          <w:bCs/>
        </w:rPr>
        <w:t xml:space="preserve">$820 million of adjusted EBITDA</w:t>
      </w:r>
    </w:p>
    <w:p>
      <w:pPr>
        <w:pStyle w:val="Compact"/>
        <w:numPr>
          <w:ilvl w:val="0"/>
          <w:numId w:val="1005"/>
        </w:numPr>
      </w:pPr>
      <w:r>
        <w:t xml:space="preserve">An adjusted EBITDA/GOV margin of approximately</w:t>
      </w:r>
      <w:r>
        <w:t xml:space="preserve"> </w:t>
      </w:r>
      <w:r>
        <w:rPr>
          <w:b/>
          <w:bCs/>
        </w:rPr>
        <w:t xml:space="preserve">2.5%</w:t>
      </w:r>
    </w:p>
    <w:p>
      <w:pPr>
        <w:pStyle w:val="FirstParagraph"/>
      </w:pPr>
      <w:r>
        <w:t xml:space="preserve">That would represent EBITDA dollar growth of roughly 25%, but a margin below Q2 2025’s 2.7%.</w:t>
      </w:r>
    </w:p>
    <w:p>
      <w:pPr>
        <w:pStyle w:val="BodyText"/>
      </w:pPr>
      <w:r>
        <w:t xml:space="preserve">The pressure is understandable:</w:t>
      </w:r>
    </w:p>
    <w:p>
      <w:pPr>
        <w:pStyle w:val="Compact"/>
        <w:numPr>
          <w:ilvl w:val="0"/>
          <w:numId w:val="1006"/>
        </w:numPr>
      </w:pPr>
      <w:r>
        <w:t xml:space="preserve">More than</w:t>
      </w:r>
      <w:r>
        <w:t xml:space="preserve"> </w:t>
      </w:r>
      <w:r>
        <w:rPr>
          <w:b/>
          <w:bCs/>
        </w:rPr>
        <w:t xml:space="preserve">$50 million</w:t>
      </w:r>
      <w:r>
        <w:t xml:space="preserve"> </w:t>
      </w:r>
      <w:r>
        <w:t xml:space="preserve">of gross cost from the Q2 Dasher gas-relief program.</w:t>
      </w:r>
    </w:p>
    <w:p>
      <w:pPr>
        <w:pStyle w:val="Compact"/>
        <w:numPr>
          <w:ilvl w:val="0"/>
          <w:numId w:val="1006"/>
        </w:numPr>
      </w:pPr>
      <w:r>
        <w:t xml:space="preserve">Deliveroo integration and incremental investment.</w:t>
      </w:r>
    </w:p>
    <w:p>
      <w:pPr>
        <w:pStyle w:val="Compact"/>
        <w:numPr>
          <w:ilvl w:val="0"/>
          <w:numId w:val="1006"/>
        </w:numPr>
      </w:pPr>
      <w:r>
        <w:t xml:space="preserve">Several hundred million dollars of spending on the global technology platform.</w:t>
      </w:r>
    </w:p>
    <w:p>
      <w:pPr>
        <w:pStyle w:val="Compact"/>
        <w:numPr>
          <w:ilvl w:val="0"/>
          <w:numId w:val="1006"/>
        </w:numPr>
      </w:pPr>
      <w:r>
        <w:t xml:space="preserve">Parallel operation of DoorDash, Wolt, Deliveroo, and the new platform.</w:t>
      </w:r>
    </w:p>
    <w:p>
      <w:pPr>
        <w:pStyle w:val="Compact"/>
        <w:numPr>
          <w:ilvl w:val="0"/>
          <w:numId w:val="1006"/>
        </w:numPr>
      </w:pPr>
      <w:r>
        <w:t xml:space="preserve">Continued investment in grocery, retail, international markets, autonomy, and other initiatives.</w:t>
      </w:r>
    </w:p>
    <w:p>
      <w:pPr>
        <w:pStyle w:val="FirstParagraph"/>
      </w:pPr>
      <w:r>
        <w:t xml:space="preserve">Management previously said that:</w:t>
      </w:r>
    </w:p>
    <w:p>
      <w:pPr>
        <w:pStyle w:val="Compact"/>
        <w:numPr>
          <w:ilvl w:val="0"/>
          <w:numId w:val="1007"/>
        </w:numPr>
      </w:pPr>
      <w:r>
        <w:t xml:space="preserve">Second-half EBITDA dollars should exceed first-half EBITDA.</w:t>
      </w:r>
    </w:p>
    <w:p>
      <w:pPr>
        <w:pStyle w:val="Compact"/>
        <w:numPr>
          <w:ilvl w:val="0"/>
          <w:numId w:val="1007"/>
        </w:numPr>
      </w:pPr>
      <w:r>
        <w:t xml:space="preserve">Second-half EBITDA margins should exceed first-half margins.</w:t>
      </w:r>
    </w:p>
    <w:p>
      <w:pPr>
        <w:pStyle w:val="Compact"/>
        <w:numPr>
          <w:ilvl w:val="0"/>
          <w:numId w:val="1007"/>
        </w:numPr>
      </w:pPr>
      <w:r>
        <w:t xml:space="preserve">Full-year 2026 EBITDA margin, excluding Deliveroo in both periods, should be slightly above 2025.</w:t>
      </w:r>
    </w:p>
    <w:p>
      <w:pPr>
        <w:pStyle w:val="Compact"/>
        <w:numPr>
          <w:ilvl w:val="0"/>
          <w:numId w:val="1007"/>
        </w:numPr>
      </w:pPr>
      <w:r>
        <w:t xml:space="preserve">Deliveroo should contribute approximately</w:t>
      </w:r>
      <w:r>
        <w:t xml:space="preserve"> </w:t>
      </w:r>
      <w:r>
        <w:rPr>
          <w:b/>
          <w:bCs/>
        </w:rPr>
        <w:t xml:space="preserve">$200 million of adjusted EBITDA</w:t>
      </w:r>
      <w:r>
        <w:t xml:space="preserve"> </w:t>
      </w:r>
      <w:r>
        <w:t xml:space="preserve">in 2026.</w:t>
      </w:r>
    </w:p>
    <w:p>
      <w:pPr>
        <w:pStyle w:val="FirstParagraph"/>
      </w:pPr>
      <w:r>
        <w:t xml:space="preserve">Those commitments are likely to be the key margin test. A Q2 EBITDA beat accompanied by weaker second-half guidance would be less reassuring than an in-line quarter with a convincing margin ramp.</w:t>
      </w:r>
    </w:p>
    <w:p>
      <w:pPr>
        <w:pStyle w:val="BodyText"/>
      </w:pPr>
      <w:r>
        <w:t xml:space="preserve">Investors should also ask whether the gas-relief program continued beyond Q2. Management previously said any extension would require offsets elsewhere to preserve the full-year outlook.</w:t>
      </w:r>
    </w:p>
    <w:p>
      <w:r>
        <w:pict>
          <v:rect style="width:0;height:1.5pt" o:hralign="center" o:hrstd="t" o:hr="t"/>
        </w:pict>
      </w:r>
    </w:p>
    <w:bookmarkEnd w:id="13"/>
    <w:bookmarkStart w:id="17" w:name="X384601712d624329b3c2e84ffc06ba28f2d9ff8"/>
    <w:p>
      <w:pPr>
        <w:pStyle w:val="Heading3"/>
      </w:pPr>
      <w:r>
        <w:t xml:space="preserve">4. Deliveroo: integration versus investment</w:t>
      </w:r>
    </w:p>
    <w:p>
      <w:pPr>
        <w:pStyle w:val="FirstParagraph"/>
      </w:pPr>
      <w:r>
        <w:t xml:space="preserve">Q2 is an important checkpoint for DoorDash’s largest recent strategic expansion.</w:t>
      </w:r>
    </w:p>
    <w:p>
      <w:pPr>
        <w:pStyle w:val="BodyText"/>
      </w:pPr>
      <w:r>
        <w:t xml:space="preserve">The early indicators were favorable in Q1:</w:t>
      </w:r>
    </w:p>
    <w:p>
      <w:pPr>
        <w:pStyle w:val="Compact"/>
        <w:numPr>
          <w:ilvl w:val="0"/>
          <w:numId w:val="1008"/>
        </w:numPr>
      </w:pPr>
      <w:r>
        <w:t xml:space="preserve">Deliveroo MAU and order growth accelerated.</w:t>
      </w:r>
    </w:p>
    <w:p>
      <w:pPr>
        <w:pStyle w:val="Compact"/>
        <w:numPr>
          <w:ilvl w:val="0"/>
          <w:numId w:val="1008"/>
        </w:numPr>
      </w:pPr>
      <w:r>
        <w:t xml:space="preserve">GOV growth accelerated in the U.K., France, and Italy.</w:t>
      </w:r>
    </w:p>
    <w:p>
      <w:pPr>
        <w:pStyle w:val="Compact"/>
        <w:numPr>
          <w:ilvl w:val="0"/>
          <w:numId w:val="1008"/>
        </w:numPr>
      </w:pPr>
      <w:r>
        <w:t xml:space="preserve">Management said Deliveroo was growing at its fastest rate in several years.</w:t>
      </w:r>
    </w:p>
    <w:p>
      <w:pPr>
        <w:pStyle w:val="Compact"/>
        <w:numPr>
          <w:ilvl w:val="0"/>
          <w:numId w:val="1008"/>
        </w:numPr>
      </w:pPr>
      <w:r>
        <w:t xml:space="preserve">Live traffic had begun moving through the new global technology platform.</w:t>
      </w:r>
    </w:p>
    <w:p>
      <w:pPr>
        <w:pStyle w:val="FirstParagraph"/>
      </w:pPr>
      <w:r>
        <w:t xml:space="preserve">But the market still needs evidence in three areas:</w:t>
      </w:r>
    </w:p>
    <w:bookmarkStart w:id="14" w:name="operating-momentum"/>
    <w:p>
      <w:pPr>
        <w:pStyle w:val="Heading4"/>
      </w:pPr>
      <w:r>
        <w:t xml:space="preserve">Operating momentum</w:t>
      </w:r>
    </w:p>
    <w:p>
      <w:pPr>
        <w:pStyle w:val="FirstParagraph"/>
      </w:pPr>
      <w:r>
        <w:t xml:space="preserve">Is Deliveroo gaining users and frequency without excessive promotions or marketing?</w:t>
      </w:r>
    </w:p>
    <w:bookmarkEnd w:id="14"/>
    <w:bookmarkStart w:id="15" w:name="economics"/>
    <w:p>
      <w:pPr>
        <w:pStyle w:val="Heading4"/>
      </w:pPr>
      <w:r>
        <w:t xml:space="preserve">Economics</w:t>
      </w:r>
    </w:p>
    <w:p>
      <w:pPr>
        <w:pStyle w:val="FirstParagraph"/>
      </w:pPr>
      <w:r>
        <w:t xml:space="preserve">Is the expected $200 million 2026 EBITDA contribution still intact, and how much additional investment will be required beyond 2026?</w:t>
      </w:r>
    </w:p>
    <w:bookmarkEnd w:id="15"/>
    <w:bookmarkStart w:id="16" w:name="integration-execution"/>
    <w:p>
      <w:pPr>
        <w:pStyle w:val="Heading4"/>
      </w:pPr>
      <w:r>
        <w:t xml:space="preserve">Integration execution</w:t>
      </w:r>
    </w:p>
    <w:p>
      <w:pPr>
        <w:pStyle w:val="FirstParagraph"/>
      </w:pPr>
      <w:r>
        <w:t xml:space="preserve">DoorDash plans to place DoorDash, Wolt, and Deliveroo on one global platform. Management expects most duplicate-platform spending to continue through 2026, with some potentially extending into early 2027.</w:t>
      </w:r>
    </w:p>
    <w:p>
      <w:pPr>
        <w:pStyle w:val="BodyText"/>
      </w:pPr>
      <w:r>
        <w:t xml:space="preserve">Any delay, cost increase, service disruption, or competitive deterioration in Europe would challenge the acquisition thesis. Conversely, faster product deployment or measurable cost savings would strengthen it.</w:t>
      </w:r>
    </w:p>
    <w:p>
      <w:r>
        <w:pict>
          <v:rect style="width:0;height:1.5pt" o:hralign="center" o:hrstd="t" o:hr="t"/>
        </w:pict>
      </w:r>
    </w:p>
    <w:bookmarkEnd w:id="16"/>
    <w:bookmarkEnd w:id="17"/>
    <w:bookmarkStart w:id="18" w:name="X1bd3b3c6320cd98c57b3850e1278a1033ba83d2"/>
    <w:p>
      <w:pPr>
        <w:pStyle w:val="Heading3"/>
      </w:pPr>
      <w:r>
        <w:t xml:space="preserve">5. Grocery and retail must show both scale and improving economics</w:t>
      </w:r>
    </w:p>
    <w:p>
      <w:pPr>
        <w:pStyle w:val="FirstParagraph"/>
      </w:pPr>
      <w:r>
        <w:t xml:space="preserve">DoorDash says it has become the U.S. grocery-delivery volume leader and that approximately 30% of MAUs were already ordering outside restaurants as of late 2025.</w:t>
      </w:r>
    </w:p>
    <w:p>
      <w:pPr>
        <w:pStyle w:val="BodyText"/>
      </w:pPr>
      <w:r>
        <w:t xml:space="preserve">Management expects the new-vertical portfolio to become</w:t>
      </w:r>
      <w:r>
        <w:t xml:space="preserve"> </w:t>
      </w:r>
      <w:r>
        <w:rPr>
          <w:b/>
          <w:bCs/>
        </w:rPr>
        <w:t xml:space="preserve">gross-profit positive in the second half of 2026</w:t>
      </w:r>
      <w:r>
        <w:t xml:space="preserve">. That is one of the most important milestones to monitor.</w:t>
      </w:r>
    </w:p>
    <w:p>
      <w:pPr>
        <w:pStyle w:val="BodyText"/>
      </w:pPr>
      <w:r>
        <w:t xml:space="preserve">Useful evidence would include:</w:t>
      </w:r>
    </w:p>
    <w:p>
      <w:pPr>
        <w:pStyle w:val="Compact"/>
        <w:numPr>
          <w:ilvl w:val="0"/>
          <w:numId w:val="1009"/>
        </w:numPr>
      </w:pPr>
      <w:r>
        <w:t xml:space="preserve">Continued strong grocery and retail GOV growth.</w:t>
      </w:r>
    </w:p>
    <w:p>
      <w:pPr>
        <w:pStyle w:val="Compact"/>
        <w:numPr>
          <w:ilvl w:val="0"/>
          <w:numId w:val="1009"/>
        </w:numPr>
      </w:pPr>
      <w:r>
        <w:t xml:space="preserve">Higher penetration among existing DoorDash users.</w:t>
      </w:r>
    </w:p>
    <w:p>
      <w:pPr>
        <w:pStyle w:val="Compact"/>
        <w:numPr>
          <w:ilvl w:val="0"/>
          <w:numId w:val="1009"/>
        </w:numPr>
      </w:pPr>
      <w:r>
        <w:t xml:space="preserve">Larger baskets among mature cohorts.</w:t>
      </w:r>
    </w:p>
    <w:p>
      <w:pPr>
        <w:pStyle w:val="Compact"/>
        <w:numPr>
          <w:ilvl w:val="0"/>
          <w:numId w:val="1009"/>
        </w:numPr>
      </w:pPr>
      <w:r>
        <w:t xml:space="preserve">Better substitution, inventory-accuracy, and fulfillment metrics.</w:t>
      </w:r>
    </w:p>
    <w:p>
      <w:pPr>
        <w:pStyle w:val="Compact"/>
        <w:numPr>
          <w:ilvl w:val="0"/>
          <w:numId w:val="1009"/>
        </w:numPr>
      </w:pPr>
      <w:r>
        <w:t xml:space="preserve">Confirmation of second-half gross-profit positivity.</w:t>
      </w:r>
    </w:p>
    <w:p>
      <w:pPr>
        <w:pStyle w:val="Compact"/>
        <w:numPr>
          <w:ilvl w:val="0"/>
          <w:numId w:val="1009"/>
        </w:numPr>
      </w:pPr>
      <w:r>
        <w:t xml:space="preserve">Progress scaling DashMart Fulfillment Services beyond a handful of partners.</w:t>
      </w:r>
    </w:p>
    <w:p>
      <w:pPr>
        <w:pStyle w:val="FirstParagraph"/>
      </w:pPr>
      <w:r>
        <w:t xml:space="preserve">Growth alone is no longer sufficient. Investors need evidence that grocery is becoming structurally profitable without depending excessively on advertising or consumer fees.</w:t>
      </w:r>
    </w:p>
    <w:p>
      <w:r>
        <w:pict>
          <v:rect style="width:0;height:1.5pt" o:hralign="center" o:hrstd="t" o:hr="t"/>
        </w:pict>
      </w:r>
    </w:p>
    <w:bookmarkEnd w:id="18"/>
    <w:bookmarkStart w:id="19" w:name="Xe14abbe64524c10971fe307f811a5ec56be2275"/>
    <w:p>
      <w:pPr>
        <w:pStyle w:val="Heading3"/>
      </w:pPr>
      <w:r>
        <w:t xml:space="preserve">6. Advertising and revenue monetization</w:t>
      </w:r>
    </w:p>
    <w:p>
      <w:pPr>
        <w:pStyle w:val="FirstParagraph"/>
      </w:pPr>
      <w:r>
        <w:t xml:space="preserve">Advertising is an increasingly important, high-margin component of DoorDash’s model. Management described the business as operating at record levels in Q1, with strength across:</w:t>
      </w:r>
    </w:p>
    <w:p>
      <w:pPr>
        <w:pStyle w:val="Compact"/>
        <w:numPr>
          <w:ilvl w:val="0"/>
          <w:numId w:val="1010"/>
        </w:numPr>
      </w:pPr>
      <w:r>
        <w:t xml:space="preserve">Small and midsize merchants.</w:t>
      </w:r>
    </w:p>
    <w:p>
      <w:pPr>
        <w:pStyle w:val="Compact"/>
        <w:numPr>
          <w:ilvl w:val="0"/>
          <w:numId w:val="1010"/>
        </w:numPr>
      </w:pPr>
      <w:r>
        <w:t xml:space="preserve">Large restaurant and retail advertisers.</w:t>
      </w:r>
    </w:p>
    <w:p>
      <w:pPr>
        <w:pStyle w:val="Compact"/>
        <w:numPr>
          <w:ilvl w:val="0"/>
          <w:numId w:val="1010"/>
        </w:numPr>
      </w:pPr>
      <w:r>
        <w:t xml:space="preserve">Consumer packaged-goods advertisers.</w:t>
      </w:r>
    </w:p>
    <w:p>
      <w:pPr>
        <w:pStyle w:val="Compact"/>
        <w:numPr>
          <w:ilvl w:val="0"/>
          <w:numId w:val="1010"/>
        </w:numPr>
      </w:pPr>
      <w:r>
        <w:t xml:space="preserve">Early off-platform and in-store opportunities.</w:t>
      </w:r>
    </w:p>
    <w:p>
      <w:pPr>
        <w:pStyle w:val="FirstParagraph"/>
      </w:pPr>
      <w:r>
        <w:t xml:space="preserve">DoorDash does not separately disclose advertising revenue, so investors must infer its performance through net revenue margin, contribution profit, and management commentary.</w:t>
      </w:r>
    </w:p>
    <w:p>
      <w:pPr>
        <w:pStyle w:val="BodyText"/>
      </w:pPr>
      <w:r>
        <w:t xml:space="preserve">A roughly $4.33 billion revenue result at the midpoint of GOV guidance would imply net revenue margin near</w:t>
      </w:r>
      <w:r>
        <w:t xml:space="preserve"> </w:t>
      </w:r>
      <w:r>
        <w:rPr>
          <w:b/>
          <w:bCs/>
        </w:rPr>
        <w:t xml:space="preserve">13.2%</w:t>
      </w:r>
      <w:r>
        <w:t xml:space="preserve">, above Q1’s 12.8% but below Q2 2025’s 13.5%.</w:t>
      </w:r>
    </w:p>
    <w:p>
      <w:pPr>
        <w:pStyle w:val="BodyText"/>
      </w:pPr>
      <w:r>
        <w:t xml:space="preserve">Improved monetization would be constructive, but investors should distinguish durable advertising and logistics efficiencies from temporary changes in promotions, credits, fees, or category mix.</w:t>
      </w:r>
    </w:p>
    <w:p>
      <w:r>
        <w:pict>
          <v:rect style="width:0;height:1.5pt" o:hralign="center" o:hrstd="t" o:hr="t"/>
        </w:pict>
      </w:r>
    </w:p>
    <w:bookmarkEnd w:id="19"/>
    <w:bookmarkStart w:id="20" w:name="X3e26969f76fa9b07d88dc6e43f0d848decfaa64"/>
    <w:p>
      <w:pPr>
        <w:pStyle w:val="Heading3"/>
      </w:pPr>
      <w:r>
        <w:t xml:space="preserve">7. Cash flow and the cost of expansion</w:t>
      </w:r>
    </w:p>
    <w:p>
      <w:pPr>
        <w:pStyle w:val="FirstParagraph"/>
      </w:pPr>
      <w:r>
        <w:t xml:space="preserve">DoorDash’s earnings quality deserves attention.</w:t>
      </w:r>
    </w:p>
    <w:p>
      <w:pPr>
        <w:pStyle w:val="BodyText"/>
      </w:pPr>
      <w:r>
        <w:t xml:space="preserve">In Q1:</w:t>
      </w:r>
    </w:p>
    <w:p>
      <w:pPr>
        <w:pStyle w:val="Compact"/>
        <w:numPr>
          <w:ilvl w:val="0"/>
          <w:numId w:val="1011"/>
        </w:numPr>
      </w:pPr>
      <w:r>
        <w:t xml:space="preserve">Operating cash flow declined 6% to</w:t>
      </w:r>
      <w:r>
        <w:t xml:space="preserve"> </w:t>
      </w:r>
      <w:r>
        <w:rPr>
          <w:b/>
          <w:bCs/>
        </w:rPr>
        <w:t xml:space="preserve">$594 million</w:t>
      </w:r>
      <w:r>
        <w:t xml:space="preserve">.</w:t>
      </w:r>
    </w:p>
    <w:p>
      <w:pPr>
        <w:pStyle w:val="Compact"/>
        <w:numPr>
          <w:ilvl w:val="0"/>
          <w:numId w:val="1011"/>
        </w:numPr>
      </w:pPr>
      <w:r>
        <w:t xml:space="preserve">Free cash flow declined 15% to</w:t>
      </w:r>
      <w:r>
        <w:t xml:space="preserve"> </w:t>
      </w:r>
      <w:r>
        <w:rPr>
          <w:b/>
          <w:bCs/>
        </w:rPr>
        <w:t xml:space="preserve">$420 million</w:t>
      </w:r>
      <w:r>
        <w:t xml:space="preserve">.</w:t>
      </w:r>
    </w:p>
    <w:p>
      <w:pPr>
        <w:pStyle w:val="Compact"/>
        <w:numPr>
          <w:ilvl w:val="0"/>
          <w:numId w:val="1011"/>
        </w:numPr>
      </w:pPr>
      <w:r>
        <w:t xml:space="preserve">Trailing-12-month free cash flow fell to</w:t>
      </w:r>
      <w:r>
        <w:t xml:space="preserve"> </w:t>
      </w:r>
      <w:r>
        <w:rPr>
          <w:b/>
          <w:bCs/>
        </w:rPr>
        <w:t xml:space="preserve">$1.75 billion</w:t>
      </w:r>
      <w:r>
        <w:t xml:space="preserve"> </w:t>
      </w:r>
      <w:r>
        <w:t xml:space="preserve">from $1.81 billion a year earlier.</w:t>
      </w:r>
    </w:p>
    <w:p>
      <w:pPr>
        <w:pStyle w:val="Compact"/>
        <w:numPr>
          <w:ilvl w:val="0"/>
          <w:numId w:val="1011"/>
        </w:numPr>
      </w:pPr>
      <w:r>
        <w:t xml:space="preserve">Capitalized software development spending increased sharply.</w:t>
      </w:r>
    </w:p>
    <w:p>
      <w:pPr>
        <w:pStyle w:val="FirstParagraph"/>
      </w:pPr>
      <w:r>
        <w:t xml:space="preserve">This reflects investment in the new technology platform and broader infrastructure, but it also means adjusted EBITDA growth is not translating one-for-one into free cash flow.</w:t>
      </w:r>
    </w:p>
    <w:p>
      <w:pPr>
        <w:pStyle w:val="BodyText"/>
      </w:pPr>
      <w:r>
        <w:t xml:space="preserve">Other relevant items include:</w:t>
      </w:r>
    </w:p>
    <w:p>
      <w:pPr>
        <w:pStyle w:val="Compact"/>
        <w:numPr>
          <w:ilvl w:val="0"/>
          <w:numId w:val="1012"/>
        </w:numPr>
      </w:pPr>
      <w:r>
        <w:t xml:space="preserve">Expected 2026 stock-based compensation of</w:t>
      </w:r>
      <w:r>
        <w:t xml:space="preserve"> </w:t>
      </w:r>
      <m:oMath>
        <m:r>
          <m:t>1.3</m:t>
        </m:r>
        <m:r>
          <m:rPr>
            <m:sty m:val="p"/>
          </m:rPr>
          <m:t>–</m:t>
        </m:r>
      </m:oMath>
      <w:r>
        <w:rPr>
          <w:b/>
          <w:bCs/>
        </w:rPr>
        <w:t xml:space="preserve">1.4 billion</w:t>
      </w:r>
      <w:r>
        <w:t xml:space="preserve">.</w:t>
      </w:r>
    </w:p>
    <w:p>
      <w:pPr>
        <w:pStyle w:val="Compact"/>
        <w:numPr>
          <w:ilvl w:val="0"/>
          <w:numId w:val="1012"/>
        </w:numPr>
      </w:pPr>
      <w:r>
        <w:t xml:space="preserve">Expected depreciation and amortization of</w:t>
      </w:r>
      <w:r>
        <w:t xml:space="preserve"> </w:t>
      </w:r>
      <m:oMath>
        <m:r>
          <m:t>1.1</m:t>
        </m:r>
        <m:r>
          <m:rPr>
            <m:sty m:val="p"/>
          </m:rPr>
          <m:t>–</m:t>
        </m:r>
      </m:oMath>
      <w:r>
        <w:rPr>
          <w:b/>
          <w:bCs/>
        </w:rPr>
        <w:t xml:space="preserve">1.2 billion</w:t>
      </w:r>
      <w:r>
        <w:t xml:space="preserve">.</w:t>
      </w:r>
    </w:p>
    <w:p>
      <w:pPr>
        <w:pStyle w:val="Compact"/>
        <w:numPr>
          <w:ilvl w:val="0"/>
          <w:numId w:val="1012"/>
        </w:numPr>
      </w:pPr>
      <w:r>
        <w:t xml:space="preserve">Approximately</w:t>
      </w:r>
      <w:r>
        <w:t xml:space="preserve"> </w:t>
      </w:r>
      <w:r>
        <w:rPr>
          <w:b/>
          <w:bCs/>
        </w:rPr>
        <w:t xml:space="preserve">$450 million</w:t>
      </w:r>
      <w:r>
        <w:t xml:space="preserve"> </w:t>
      </w:r>
      <w:r>
        <w:t xml:space="preserve">of expected acquired-intangible amortization.</w:t>
      </w:r>
    </w:p>
    <w:p>
      <w:pPr>
        <w:pStyle w:val="Compact"/>
        <w:numPr>
          <w:ilvl w:val="0"/>
          <w:numId w:val="1012"/>
        </w:numPr>
      </w:pPr>
      <w:r>
        <w:t xml:space="preserve">Roughly</w:t>
      </w:r>
      <w:r>
        <w:t xml:space="preserve"> </w:t>
      </w:r>
      <w:r>
        <w:rPr>
          <w:b/>
          <w:bCs/>
        </w:rPr>
        <w:t xml:space="preserve">$4.8 billion</w:t>
      </w:r>
      <w:r>
        <w:t xml:space="preserve"> </w:t>
      </w:r>
      <w:r>
        <w:t xml:space="preserve">remaining under the share-repurchase authorization as of early May.</w:t>
      </w:r>
    </w:p>
    <w:p>
      <w:pPr>
        <w:pStyle w:val="FirstParagraph"/>
      </w:pPr>
      <w:r>
        <w:t xml:space="preserve">With the stock at roughly $202 and a rough equity value near $90 billion using Q1 diluted shares, investors should demand strong cash conversion. Repurchases are most valuable if they at least offset dilution without compromising investment returns.</w:t>
      </w:r>
    </w:p>
    <w:p>
      <w:r>
        <w:pict>
          <v:rect style="width:0;height:1.5pt" o:hralign="center" o:hrstd="t" o:hr="t"/>
        </w:pict>
      </w:r>
    </w:p>
    <w:bookmarkEnd w:id="20"/>
    <w:bookmarkEnd w:id="21"/>
    <w:bookmarkStart w:id="25" w:name="additional-issues-likely-to-come-up"/>
    <w:p>
      <w:pPr>
        <w:pStyle w:val="Heading2"/>
      </w:pPr>
      <w:r>
        <w:t xml:space="preserve">Additional issues likely to come up</w:t>
      </w:r>
    </w:p>
    <w:bookmarkStart w:id="22" w:name="autonomous-delivery"/>
    <w:p>
      <w:pPr>
        <w:pStyle w:val="Heading3"/>
      </w:pPr>
      <w:r>
        <w:t xml:space="preserve">Autonomous delivery</w:t>
      </w:r>
    </w:p>
    <w:p>
      <w:pPr>
        <w:pStyle w:val="FirstParagraph"/>
      </w:pPr>
      <w:r>
        <w:t xml:space="preserve">DoorDash recently received FAA certification for commercial drone operations and is developing its own aircraft and supporting network. This expands its autonomy strategy beyond DoorDash Dot and third-party drone partnerships.</w:t>
      </w:r>
    </w:p>
    <w:p>
      <w:pPr>
        <w:pStyle w:val="BodyText"/>
      </w:pPr>
      <w:r>
        <w:t xml:space="preserve">Strategically, autonomy could improve delivery speed, range, and cost. Financially, however, it is still an investment rather than a meaningful near-term earnings contributor. Investors should watch spending discipline and avoid assigning substantial near-term value without evidence of scaled commercial economics.</w:t>
      </w:r>
    </w:p>
    <w:bookmarkEnd w:id="22"/>
    <w:bookmarkStart w:id="23" w:name="ai-productivity"/>
    <w:p>
      <w:pPr>
        <w:pStyle w:val="Heading3"/>
      </w:pPr>
      <w:r>
        <w:t xml:space="preserve">AI productivity</w:t>
      </w:r>
    </w:p>
    <w:p>
      <w:pPr>
        <w:pStyle w:val="FirstParagraph"/>
      </w:pPr>
      <w:r>
        <w:t xml:space="preserve">Management said in May that more than half—and potentially close to two-thirds—of DoorDash’s code was being written with AI assistance. DoorDash is also deploying AI across merchant onboarding, catalogs, customer support, search, and ordering.</w:t>
      </w:r>
    </w:p>
    <w:p>
      <w:pPr>
        <w:pStyle w:val="BodyText"/>
      </w:pPr>
      <w:r>
        <w:t xml:space="preserve">The investor question is whether this translates into:</w:t>
      </w:r>
    </w:p>
    <w:p>
      <w:pPr>
        <w:pStyle w:val="Compact"/>
        <w:numPr>
          <w:ilvl w:val="0"/>
          <w:numId w:val="1013"/>
        </w:numPr>
      </w:pPr>
      <w:r>
        <w:t xml:space="preserve">Slower headcount and operating-expense growth.</w:t>
      </w:r>
    </w:p>
    <w:p>
      <w:pPr>
        <w:pStyle w:val="Compact"/>
        <w:numPr>
          <w:ilvl w:val="0"/>
          <w:numId w:val="1013"/>
        </w:numPr>
      </w:pPr>
      <w:r>
        <w:t xml:space="preserve">Faster product releases.</w:t>
      </w:r>
    </w:p>
    <w:p>
      <w:pPr>
        <w:pStyle w:val="Compact"/>
        <w:numPr>
          <w:ilvl w:val="0"/>
          <w:numId w:val="1013"/>
        </w:numPr>
      </w:pPr>
      <w:r>
        <w:t xml:space="preserve">Lower support costs.</w:t>
      </w:r>
    </w:p>
    <w:p>
      <w:pPr>
        <w:pStyle w:val="Compact"/>
        <w:numPr>
          <w:ilvl w:val="0"/>
          <w:numId w:val="1013"/>
        </w:numPr>
      </w:pPr>
      <w:r>
        <w:t xml:space="preserve">Better catalog quality and conversion.</w:t>
      </w:r>
    </w:p>
    <w:p>
      <w:pPr>
        <w:pStyle w:val="Compact"/>
        <w:numPr>
          <w:ilvl w:val="0"/>
          <w:numId w:val="1013"/>
        </w:numPr>
      </w:pPr>
      <w:r>
        <w:t xml:space="preserve">Improved retention and unit economics.</w:t>
      </w:r>
    </w:p>
    <w:p>
      <w:pPr>
        <w:pStyle w:val="FirstParagraph"/>
      </w:pPr>
      <w:r>
        <w:t xml:space="preserve">Recent congressional scrutiny of DoorDash’s use of Chinese-developed AI models introduces a modest regulatory and reputational consideration, although it is not currently central to the earnings model.</w:t>
      </w:r>
    </w:p>
    <w:bookmarkEnd w:id="23"/>
    <w:bookmarkStart w:id="24" w:name="consumer-health"/>
    <w:p>
      <w:pPr>
        <w:pStyle w:val="Heading3"/>
      </w:pPr>
      <w:r>
        <w:t xml:space="preserve">Consumer health</w:t>
      </w:r>
    </w:p>
    <w:p>
      <w:pPr>
        <w:pStyle w:val="FirstParagraph"/>
      </w:pPr>
      <w:r>
        <w:t xml:space="preserve">Management said demand remained strong and Q2 began well as of the May call. Investors should listen closely for changes in:</w:t>
      </w:r>
    </w:p>
    <w:p>
      <w:pPr>
        <w:pStyle w:val="Compact"/>
        <w:numPr>
          <w:ilvl w:val="0"/>
          <w:numId w:val="1014"/>
        </w:numPr>
      </w:pPr>
      <w:r>
        <w:t xml:space="preserve">Lower-income customer behavior.</w:t>
      </w:r>
    </w:p>
    <w:p>
      <w:pPr>
        <w:pStyle w:val="Compact"/>
        <w:numPr>
          <w:ilvl w:val="0"/>
          <w:numId w:val="1014"/>
        </w:numPr>
      </w:pPr>
      <w:r>
        <w:t xml:space="preserve">Basket sizes and order frequency.</w:t>
      </w:r>
    </w:p>
    <w:p>
      <w:pPr>
        <w:pStyle w:val="Compact"/>
        <w:numPr>
          <w:ilvl w:val="0"/>
          <w:numId w:val="1014"/>
        </w:numPr>
      </w:pPr>
      <w:r>
        <w:t xml:space="preserve">Promotion sensitivity.</w:t>
      </w:r>
    </w:p>
    <w:p>
      <w:pPr>
        <w:pStyle w:val="Compact"/>
        <w:numPr>
          <w:ilvl w:val="0"/>
          <w:numId w:val="1014"/>
        </w:numPr>
      </w:pPr>
      <w:r>
        <w:t xml:space="preserve">Restaurant versus grocery mix.</w:t>
      </w:r>
    </w:p>
    <w:p>
      <w:pPr>
        <w:pStyle w:val="Compact"/>
        <w:numPr>
          <w:ilvl w:val="0"/>
          <w:numId w:val="1014"/>
        </w:numPr>
      </w:pPr>
      <w:r>
        <w:t xml:space="preserve">Geographic differences in consumer demand.</w:t>
      </w:r>
    </w:p>
    <w:p>
      <w:pPr>
        <w:pStyle w:val="FirstParagraph"/>
      </w:pPr>
      <w:r>
        <w:t xml:space="preserve">Delivery remains discretionary at the margin, so even modest changes in consumer confidence could affect frequency or require higher promotional spending.</w:t>
      </w:r>
    </w:p>
    <w:p>
      <w:r>
        <w:pict>
          <v:rect style="width:0;height:1.5pt" o:hralign="center" o:hrstd="t" o:hr="t"/>
        </w:pict>
      </w:r>
    </w:p>
    <w:bookmarkEnd w:id="24"/>
    <w:bookmarkEnd w:id="25"/>
    <w:bookmarkStart w:id="26" w:name="what-would-constitute-a-strong-report"/>
    <w:p>
      <w:pPr>
        <w:pStyle w:val="Heading2"/>
      </w:pPr>
      <w:r>
        <w:t xml:space="preserve">What would constitute a strong report?</w:t>
      </w:r>
    </w:p>
    <w:p>
      <w:pPr>
        <w:pStyle w:val="FirstParagraph"/>
      </w:pPr>
      <w:r>
        <w:t xml:space="preserve">A genuinely strong result would likely include most of the following:</w:t>
      </w:r>
    </w:p>
    <w:p>
      <w:pPr>
        <w:pStyle w:val="Compact"/>
        <w:numPr>
          <w:ilvl w:val="0"/>
          <w:numId w:val="1015"/>
        </w:numPr>
      </w:pPr>
      <w:r>
        <w:t xml:space="preserve">GOV at or above the</w:t>
      </w:r>
      <w:r>
        <w:t xml:space="preserve"> </w:t>
      </w:r>
      <w:r>
        <w:rPr>
          <w:b/>
          <w:bCs/>
        </w:rPr>
        <w:t xml:space="preserve">$33.4 billion</w:t>
      </w:r>
      <w:r>
        <w:t xml:space="preserve"> </w:t>
      </w:r>
      <w:r>
        <w:t xml:space="preserve">guidance ceiling.</w:t>
      </w:r>
    </w:p>
    <w:p>
      <w:pPr>
        <w:pStyle w:val="Compact"/>
        <w:numPr>
          <w:ilvl w:val="0"/>
          <w:numId w:val="1015"/>
        </w:numPr>
      </w:pPr>
      <w:r>
        <w:t xml:space="preserve">Revenue at or above approximately</w:t>
      </w:r>
      <w:r>
        <w:t xml:space="preserve"> </w:t>
      </w:r>
      <w:r>
        <w:rPr>
          <w:b/>
          <w:bCs/>
        </w:rPr>
        <w:t xml:space="preserve">$4.33 billion</w:t>
      </w:r>
      <w:r>
        <w:t xml:space="preserve">.</w:t>
      </w:r>
    </w:p>
    <w:p>
      <w:pPr>
        <w:pStyle w:val="Compact"/>
        <w:numPr>
          <w:ilvl w:val="0"/>
          <w:numId w:val="1015"/>
        </w:numPr>
      </w:pPr>
      <w:r>
        <w:t xml:space="preserve">Adjusted EBITDA near or above the</w:t>
      </w:r>
      <w:r>
        <w:t xml:space="preserve"> </w:t>
      </w:r>
      <w:r>
        <w:rPr>
          <w:b/>
          <w:bCs/>
        </w:rPr>
        <w:t xml:space="preserve">$870 million</w:t>
      </w:r>
      <w:r>
        <w:t xml:space="preserve"> </w:t>
      </w:r>
      <w:r>
        <w:t xml:space="preserve">guidance ceiling.</w:t>
      </w:r>
    </w:p>
    <w:p>
      <w:pPr>
        <w:pStyle w:val="Compact"/>
        <w:numPr>
          <w:ilvl w:val="0"/>
          <w:numId w:val="1015"/>
        </w:numPr>
      </w:pPr>
      <w:r>
        <w:t xml:space="preserve">Organic GOV growth remaining near or above 20%.</w:t>
      </w:r>
    </w:p>
    <w:p>
      <w:pPr>
        <w:pStyle w:val="Compact"/>
        <w:numPr>
          <w:ilvl w:val="0"/>
          <w:numId w:val="1015"/>
        </w:numPr>
      </w:pPr>
      <w:r>
        <w:t xml:space="preserve">Healthy U.S. restaurant growth and continued share gains.</w:t>
      </w:r>
    </w:p>
    <w:p>
      <w:pPr>
        <w:pStyle w:val="Compact"/>
        <w:numPr>
          <w:ilvl w:val="0"/>
          <w:numId w:val="1015"/>
        </w:numPr>
      </w:pPr>
      <w:r>
        <w:t xml:space="preserve">Accelerating or stable membership and order-frequency metrics.</w:t>
      </w:r>
    </w:p>
    <w:p>
      <w:pPr>
        <w:pStyle w:val="Compact"/>
        <w:numPr>
          <w:ilvl w:val="0"/>
          <w:numId w:val="1015"/>
        </w:numPr>
      </w:pPr>
      <w:r>
        <w:t xml:space="preserve">Deliveroo integration progressing on schedule with the $200 million full-year EBITDA contribution reiterated.</w:t>
      </w:r>
    </w:p>
    <w:p>
      <w:pPr>
        <w:pStyle w:val="Compact"/>
        <w:numPr>
          <w:ilvl w:val="0"/>
          <w:numId w:val="1015"/>
        </w:numPr>
      </w:pPr>
      <w:r>
        <w:t xml:space="preserve">Confirmation that new verticals will become gross-profit positive in the second half.</w:t>
      </w:r>
    </w:p>
    <w:p>
      <w:pPr>
        <w:pStyle w:val="Compact"/>
        <w:numPr>
          <w:ilvl w:val="0"/>
          <w:numId w:val="1015"/>
        </w:numPr>
      </w:pPr>
      <w:r>
        <w:t xml:space="preserve">Reaffirmed or improved full-year margin expectations.</w:t>
      </w:r>
    </w:p>
    <w:p>
      <w:pPr>
        <w:pStyle w:val="Compact"/>
        <w:numPr>
          <w:ilvl w:val="0"/>
          <w:numId w:val="1015"/>
        </w:numPr>
      </w:pPr>
      <w:r>
        <w:t xml:space="preserve">A clear second-half EBITDA and free-cash-flow ramp.</w:t>
      </w:r>
    </w:p>
    <w:p>
      <w:pPr>
        <w:pStyle w:val="FirstParagraph"/>
      </w:pPr>
      <w:r>
        <w:t xml:space="preserve">The strongest possible signal would be a combined</w:t>
      </w:r>
      <w:r>
        <w:t xml:space="preserve"> </w:t>
      </w:r>
      <w:r>
        <w:rPr>
          <w:b/>
          <w:bCs/>
        </w:rPr>
        <w:t xml:space="preserve">top-line beat and higher second-half profitability outlook</w:t>
      </w:r>
      <w:r>
        <w:t xml:space="preserve">, showing that investment is not overwhelming underlying operating leverage.</w:t>
      </w:r>
    </w:p>
    <w:p>
      <w:r>
        <w:pict>
          <v:rect style="width:0;height:1.5pt" o:hralign="center" o:hrstd="t" o:hr="t"/>
        </w:pict>
      </w:r>
    </w:p>
    <w:bookmarkEnd w:id="26"/>
    <w:bookmarkStart w:id="27" w:name="what-could-disappoint"/>
    <w:p>
      <w:pPr>
        <w:pStyle w:val="Heading2"/>
      </w:pPr>
      <w:r>
        <w:t xml:space="preserve">What could disappoint?</w:t>
      </w:r>
    </w:p>
    <w:p>
      <w:pPr>
        <w:pStyle w:val="FirstParagraph"/>
      </w:pPr>
      <w:r>
        <w:t xml:space="preserve">The stock could struggle even on a nominal beat if:</w:t>
      </w:r>
    </w:p>
    <w:p>
      <w:pPr>
        <w:pStyle w:val="Compact"/>
        <w:numPr>
          <w:ilvl w:val="0"/>
          <w:numId w:val="1016"/>
        </w:numPr>
      </w:pPr>
      <w:r>
        <w:t xml:space="preserve">GOV only lands near the midpoint after the recent share-price rally.</w:t>
      </w:r>
    </w:p>
    <w:p>
      <w:pPr>
        <w:pStyle w:val="Compact"/>
        <w:numPr>
          <w:ilvl w:val="0"/>
          <w:numId w:val="1016"/>
        </w:numPr>
      </w:pPr>
      <w:r>
        <w:t xml:space="preserve">Organic growth slows materially while Deliveroo masks the deceleration.</w:t>
      </w:r>
    </w:p>
    <w:p>
      <w:pPr>
        <w:pStyle w:val="Compact"/>
        <w:numPr>
          <w:ilvl w:val="0"/>
          <w:numId w:val="1016"/>
        </w:numPr>
      </w:pPr>
      <w:r>
        <w:t xml:space="preserve">EBITDA exceeds guidance mainly because planned investments were delayed.</w:t>
      </w:r>
    </w:p>
    <w:p>
      <w:pPr>
        <w:pStyle w:val="Compact"/>
        <w:numPr>
          <w:ilvl w:val="0"/>
          <w:numId w:val="1016"/>
        </w:numPr>
      </w:pPr>
      <w:r>
        <w:t xml:space="preserve">Management lowers second-half margin expectations.</w:t>
      </w:r>
    </w:p>
    <w:p>
      <w:pPr>
        <w:pStyle w:val="Compact"/>
        <w:numPr>
          <w:ilvl w:val="0"/>
          <w:numId w:val="1016"/>
        </w:numPr>
      </w:pPr>
      <w:r>
        <w:t xml:space="preserve">Deliveroo requires more spending than anticipated.</w:t>
      </w:r>
    </w:p>
    <w:p>
      <w:pPr>
        <w:pStyle w:val="Compact"/>
        <w:numPr>
          <w:ilvl w:val="0"/>
          <w:numId w:val="1016"/>
        </w:numPr>
      </w:pPr>
      <w:r>
        <w:t xml:space="preserve">The gas-relief program is extended without credible offsets.</w:t>
      </w:r>
    </w:p>
    <w:p>
      <w:pPr>
        <w:pStyle w:val="Compact"/>
        <w:numPr>
          <w:ilvl w:val="0"/>
          <w:numId w:val="1016"/>
        </w:numPr>
      </w:pPr>
      <w:r>
        <w:t xml:space="preserve">Grocery profitability is pushed out.</w:t>
      </w:r>
    </w:p>
    <w:p>
      <w:pPr>
        <w:pStyle w:val="Compact"/>
        <w:numPr>
          <w:ilvl w:val="0"/>
          <w:numId w:val="1016"/>
        </w:numPr>
      </w:pPr>
      <w:r>
        <w:t xml:space="preserve">Free cash flow remains weak relative to adjusted EBITDA.</w:t>
      </w:r>
    </w:p>
    <w:p>
      <w:pPr>
        <w:pStyle w:val="Compact"/>
        <w:numPr>
          <w:ilvl w:val="0"/>
          <w:numId w:val="1016"/>
        </w:numPr>
      </w:pPr>
      <w:r>
        <w:t xml:space="preserve">Consumer demand softened late in the quarter or in July.</w:t>
      </w:r>
    </w:p>
    <w:p>
      <w:pPr>
        <w:pStyle w:val="Compact"/>
        <w:numPr>
          <w:ilvl w:val="0"/>
          <w:numId w:val="1016"/>
        </w:numPr>
      </w:pPr>
      <w:r>
        <w:t xml:space="preserve">Management signals that duplicate technology-platform costs will persist well into 2027.</w:t>
      </w:r>
    </w:p>
    <w:p>
      <w:r>
        <w:pict>
          <v:rect style="width:0;height:1.5pt" o:hralign="center" o:hrstd="t" o:hr="t"/>
        </w:pict>
      </w:r>
    </w:p>
    <w:bookmarkEnd w:id="27"/>
    <w:bookmarkStart w:id="28" w:name="likely-stock-reaction-framework"/>
    <w:p>
      <w:pPr>
        <w:pStyle w:val="Heading2"/>
      </w:pPr>
      <w:r>
        <w:t xml:space="preserve">Likely stock-reaction framework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Scenario</w:t>
            </w:r>
          </w:p>
        </w:tc>
        <w:tc>
          <w:tcPr/>
          <w:p>
            <w:pPr>
              <w:pStyle w:val="Compact"/>
            </w:pPr>
            <w:r>
              <w:t xml:space="preserve">Operating outcome</w:t>
            </w:r>
          </w:p>
        </w:tc>
        <w:tc>
          <w:tcPr/>
          <w:p>
            <w:pPr>
              <w:pStyle w:val="Compact"/>
            </w:pPr>
            <w:r>
              <w:t xml:space="preserve">Likely interpretation</w:t>
            </w:r>
          </w:p>
        </w:tc>
      </w:tr>
      <w:tr>
        <w:tc>
          <w:tcPr/>
          <w:p>
            <w:pPr>
              <w:pStyle w:val="Compact"/>
            </w:pPr>
            <w:r>
              <w:rPr>
                <w:b/>
                <w:bCs/>
              </w:rPr>
              <w:t xml:space="preserve">Bull</w:t>
            </w:r>
          </w:p>
        </w:tc>
        <w:tc>
          <w:tcPr/>
          <w:p>
            <w:pPr>
              <w:pStyle w:val="Compact"/>
            </w:pPr>
            <w:r>
              <w:t xml:space="preserve">GOV and EBITDA above the high end; strong organic growth; guidance raised</w:t>
            </w:r>
          </w:p>
        </w:tc>
        <w:tc>
          <w:tcPr/>
          <w:p>
            <w:pPr>
              <w:pStyle w:val="Compact"/>
            </w:pPr>
            <w:r>
              <w:t xml:space="preserve">DoorDash is integrating Deliveroo without sacrificing legacy momentum or margin expansion</w:t>
            </w:r>
          </w:p>
        </w:tc>
      </w:tr>
      <w:tr>
        <w:tc>
          <w:tcPr/>
          <w:p>
            <w:pPr>
              <w:pStyle w:val="Compact"/>
            </w:pPr>
            <w:r>
              <w:rPr>
                <w:b/>
                <w:bCs/>
              </w:rPr>
              <w:t xml:space="preserve">Base</w:t>
            </w:r>
          </w:p>
        </w:tc>
        <w:tc>
          <w:tcPr/>
          <w:p>
            <w:pPr>
              <w:pStyle w:val="Compact"/>
            </w:pPr>
            <w:r>
              <w:t xml:space="preserve">Results in the upper half of guidance; outlook reiterated</w:t>
            </w:r>
          </w:p>
        </w:tc>
        <w:tc>
          <w:tcPr/>
          <w:p>
            <w:pPr>
              <w:pStyle w:val="Compact"/>
            </w:pPr>
            <w:r>
              <w:t xml:space="preserve">Solid execution, but the stock reaction may depend on the quality of organic growth and second-half commentary</w:t>
            </w:r>
          </w:p>
        </w:tc>
      </w:tr>
      <w:tr>
        <w:tc>
          <w:tcPr/>
          <w:p>
            <w:pPr>
              <w:pStyle w:val="Compact"/>
            </w:pPr>
            <w:r>
              <w:rPr>
                <w:b/>
                <w:bCs/>
              </w:rPr>
              <w:t xml:space="preserve">Bear</w:t>
            </w:r>
          </w:p>
        </w:tc>
        <w:tc>
          <w:tcPr/>
          <w:p>
            <w:pPr>
              <w:pStyle w:val="Compact"/>
            </w:pPr>
            <w:r>
              <w:t xml:space="preserve">Midpoint-or-lower GOV, weaker organic trends, or softer margin outlook</w:t>
            </w:r>
          </w:p>
        </w:tc>
        <w:tc>
          <w:tcPr/>
          <w:p>
            <w:pPr>
              <w:pStyle w:val="Compact"/>
            </w:pPr>
            <w:r>
              <w:t xml:space="preserve">Acquisition-driven growth and investment spending are obscuring a slowdown in the core business</w:t>
            </w:r>
          </w:p>
        </w:tc>
      </w:tr>
    </w:tbl>
    <w:p>
      <w:pPr>
        <w:pStyle w:val="BodyText"/>
      </w:pPr>
      <w:r>
        <w:t xml:space="preserve">Because the stock has rallied into the event, the asymmetry looks less favorable than it did earlier in the quarter. The market is likely to reward an outlook raise more than a backward-looking beat.</w:t>
      </w:r>
    </w:p>
    <w:p>
      <w:r>
        <w:pict>
          <v:rect style="width:0;height:1.5pt" o:hralign="center" o:hrstd="t" o:hr="t"/>
        </w:pict>
      </w:r>
    </w:p>
    <w:bookmarkEnd w:id="28"/>
    <w:bookmarkStart w:id="29" w:name="bottom-line"/>
    <w:p>
      <w:pPr>
        <w:pStyle w:val="Heading2"/>
      </w:pPr>
      <w:r>
        <w:t xml:space="preserve">Bottom line</w:t>
      </w:r>
    </w:p>
    <w:p>
      <w:pPr>
        <w:pStyle w:val="FirstParagraph"/>
      </w:pPr>
      <w:r>
        <w:t xml:space="preserve">DoorDash remains one of the strongest growth stories in local commerce. Its U.S. restaurant operation continues to expand at scale, grocery and retail provide a long runway, advertising is improving monetization, and Deliveroo materially enlarges the international opportunity.</w:t>
      </w:r>
    </w:p>
    <w:p>
      <w:pPr>
        <w:pStyle w:val="BodyText"/>
      </w:pPr>
      <w:r>
        <w:t xml:space="preserve">But Q2 must demonstrate that these opportunities can coexist with financial discipline.</w:t>
      </w:r>
    </w:p>
    <w:p>
      <w:pPr>
        <w:pStyle w:val="BodyText"/>
      </w:pPr>
      <w:r>
        <w:t xml:space="preserve">The most important figures will be</w:t>
      </w:r>
      <w:r>
        <w:t xml:space="preserve"> </w:t>
      </w:r>
      <w:r>
        <w:rPr>
          <w:b/>
          <w:bCs/>
        </w:rPr>
        <w:t xml:space="preserve">organic GOV growth, adjusted EBITDA and second-half guidance</w:t>
      </w:r>
      <w:r>
        <w:t xml:space="preserve">. The most important qualitative issue will be whether Deliveroo and the global technology platform are beginning to produce better consumer outcomes and operating leverage—or simply adding complexity and cost.</w:t>
      </w:r>
    </w:p>
    <w:p>
      <w:pPr>
        <w:pStyle w:val="BodyText"/>
      </w:pPr>
      <w:r>
        <w:t xml:space="preserve">Going into the report, the fundamental setup is positive, but the stock’s rally creates a high bar:</w:t>
      </w:r>
      <w:r>
        <w:t xml:space="preserve"> </w:t>
      </w:r>
      <w:r>
        <w:rPr>
          <w:b/>
          <w:bCs/>
        </w:rPr>
        <w:t xml:space="preserve">DoorDash probably needs both durable growth and a convincing margin ramp to generate a clearly positive reaction.</w:t>
      </w:r>
    </w:p>
    <w:p>
      <w:r>
        <w:pict>
          <v:rect style="width:0;height:1.5pt" o:hralign="center" o:hrstd="t" o:hr="t"/>
        </w:pict>
      </w:r>
    </w:p>
    <w:p>
      <w:pPr>
        <w:pStyle w:val="FirstParagraph"/>
      </w:pPr>
      <w:r>
        <w:rPr>
          <w:i/>
          <w:iCs/>
        </w:rPr>
        <w:t xml:space="preserve">Research based on DoorDash’s Q1 2026 earnings release and call, Q1 2026 Form 10-Q, 2025 Form 10-K, the July 6 earnings announcement, recent company news, and stock-price data available on August 5, 2026.</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2026-08-05T00:55:37Z</dcterms:created>
  <dcterms:modified xsi:type="dcterms:W3CDTF">2026-08-05T00:55:37Z</dcterms:modified>
</cp:coreProperties>
</file>

<file path=docProps/custom.xml><?xml version="1.0" encoding="utf-8"?>
<Properties xmlns="http://schemas.openxmlformats.org/officeDocument/2006/custom-properties" xmlns:vt="http://schemas.openxmlformats.org/officeDocument/2006/docPropsVTypes"/>
</file>