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6e8658602b87ac39de6196d68c9d96278909ca"/>
    <w:p>
      <w:pPr>
        <w:pStyle w:val="Heading1"/>
      </w:pPr>
      <w:r>
        <w:t xml:space="preserve">DoorDash (NASDAQ: DASH) — Q2 2026 Earnings Preview</w:t>
      </w:r>
    </w:p>
    <w:p>
      <w:pPr>
        <w:pStyle w:val="BlockText"/>
      </w:pPr>
      <w:r>
        <w:rPr>
          <w:b/>
          <w:bCs/>
        </w:rPr>
        <w:t xml:space="preserve">Date clarification:</w:t>
      </w:r>
      <w:r>
        <w:t xml:space="preserve"> </w:t>
      </w:r>
      <w:r>
        <w:t xml:space="preserve">DoorDash is scheduled to report</w:t>
      </w:r>
      <w:r>
        <w:t xml:space="preserve"> </w:t>
      </w:r>
      <w:r>
        <w:rPr>
          <w:b/>
          <w:bCs/>
        </w:rPr>
        <w:t xml:space="preserve">Q2 2026 results after the U.S. market close on Wednesday, August 5, 2026</w:t>
      </w:r>
      <w:r>
        <w:t xml:space="preserve">—that is</w:t>
      </w:r>
      <w:r>
        <w:t xml:space="preserve"> </w:t>
      </w:r>
      <w:r>
        <w:rPr>
          <w:b/>
          <w:bCs/>
        </w:rPr>
        <w:t xml:space="preserve">today</w:t>
      </w:r>
      <w:r>
        <w:t xml:space="preserve">, not tomorrow. This preview reflects information available ahead of the release.</w:t>
      </w:r>
    </w:p>
    <w:bookmarkStart w:id="9" w:name="Xbec6cad1ccb9648073a47319cb4f5f0314b99f9"/>
    <w:p>
      <w:pPr>
        <w:pStyle w:val="Heading2"/>
      </w:pPr>
      <w:r>
        <w:t xml:space="preserve">Investment view: the bar is elevated, with growth and investment discipline both in focus</w:t>
      </w:r>
    </w:p>
    <w:p>
      <w:pPr>
        <w:pStyle w:val="FirstParagraph"/>
      </w:pPr>
      <w:r>
        <w:t xml:space="preserve">DoorDash enters Q2 with strong underlying momentum: consumer engagement, membership adoption, grocery/retail, advertising, and international operations were all described as healthy in Q1. However, the stock’s setup implies limited tolerance for a merely in-line print. DASH closed at</w:t>
      </w:r>
      <w:r>
        <w:t xml:space="preserve"> </w:t>
      </w:r>
      <w:r>
        <w:rPr>
          <w:b/>
          <w:bCs/>
        </w:rPr>
        <w:t xml:space="preserve">$202.41 on August 4</w:t>
      </w:r>
      <w:r>
        <w:t xml:space="preserve">, up</w:t>
      </w:r>
      <w:r>
        <w:t xml:space="preserve"> </w:t>
      </w:r>
      <w:r>
        <w:rPr>
          <w:b/>
          <w:bCs/>
        </w:rPr>
        <w:t xml:space="preserve">21.8%</w:t>
      </w:r>
      <w:r>
        <w:t xml:space="preserve"> </w:t>
      </w:r>
      <w:r>
        <w:t xml:space="preserve">from the day before its Q1 release.</w:t>
      </w:r>
    </w:p>
    <w:p>
      <w:pPr>
        <w:pStyle w:val="BodyText"/>
      </w:pPr>
      <w:r>
        <w:t xml:space="preserve">The central debate is no longer whether DoorDash can grow. It is whether the company can</w:t>
      </w:r>
      <w:r>
        <w:t xml:space="preserve"> </w:t>
      </w:r>
      <w:r>
        <w:rPr>
          <w:b/>
          <w:bCs/>
        </w:rPr>
        <w:t xml:space="preserve">sustain mid-30% reported GOV growth, preserve its long-term margin trajectory, and demonstrate that incremental spending—on Deliveroo, the global technology platform, autonomy, and new verticals—is generating durable returns.</w:t>
      </w:r>
    </w:p>
    <w:bookmarkEnd w:id="9"/>
    <w:bookmarkStart w:id="10" w:name="what-doordash-guided-to-for-q2"/>
    <w:p>
      <w:pPr>
        <w:pStyle w:val="Heading2"/>
      </w:pPr>
      <w:r>
        <w:t xml:space="preserve">What DoorDash guided to for Q2</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guidance</w:t>
            </w:r>
          </w:p>
        </w:tc>
        <w:tc>
          <w:tcPr/>
          <w:p>
            <w:pPr>
              <w:pStyle w:val="Compact"/>
              <w:jc w:val="right"/>
            </w:pPr>
            <w:r>
              <w:t xml:space="preserve">Midpoint</w:t>
            </w:r>
          </w:p>
        </w:tc>
        <w:tc>
          <w:tcPr/>
          <w:p>
            <w:pPr>
              <w:pStyle w:val="Compact"/>
              <w:jc w:val="right"/>
            </w:pPr>
            <w:r>
              <w:t xml:space="preserve">Key comparison</w:t>
            </w:r>
          </w:p>
        </w:tc>
      </w:tr>
      <w:tr>
        <w:tc>
          <w:tcPr/>
          <w:p>
            <w:pPr>
              <w:pStyle w:val="Compact"/>
            </w:pPr>
            <w:r>
              <w:t xml:space="preserve">Marketplace GOV</w:t>
            </w:r>
          </w:p>
        </w:tc>
        <w:tc>
          <w:tcPr/>
          <w:p>
            <w:pPr>
              <w:pStyle w:val="Compact"/>
              <w:jc w:val="right"/>
            </w:pPr>
            <m:oMath>
              <m:r>
                <m:t>32.4</m:t>
              </m:r>
              <m:r>
                <m:t>B</m:t>
              </m:r>
              <m:r>
                <m:rPr>
                  <m:sty m:val="p"/>
                </m:rPr>
                <m:t>–</m:t>
              </m:r>
            </m:oMath>
            <w:r>
              <w:t xml:space="preserve">33.4B</w:t>
            </w:r>
          </w:p>
        </w:tc>
        <w:tc>
          <w:tcPr/>
          <w:p>
            <w:pPr>
              <w:pStyle w:val="Compact"/>
              <w:jc w:val="right"/>
            </w:pPr>
            <w:r>
              <w:rPr>
                <w:b/>
                <w:bCs/>
              </w:rPr>
              <w:t xml:space="preserve">$32.9B</w:t>
            </w:r>
          </w:p>
        </w:tc>
        <w:tc>
          <w:tcPr/>
          <w:p>
            <w:pPr>
              <w:pStyle w:val="Compact"/>
              <w:jc w:val="right"/>
            </w:pPr>
            <w:r>
              <w:t xml:space="preserve">Implies ~</w:t>
            </w:r>
            <w:r>
              <w:rPr>
                <w:b/>
                <w:bCs/>
              </w:rPr>
              <w:t xml:space="preserve">35.7%</w:t>
            </w:r>
            <w:r>
              <w:t xml:space="preserve"> </w:t>
            </w:r>
            <w:r>
              <w:t xml:space="preserve">Y/Y growth versus Q2 2025</w:t>
            </w:r>
          </w:p>
        </w:tc>
      </w:tr>
      <w:tr>
        <w:tc>
          <w:tcPr/>
          <w:p>
            <w:pPr>
              <w:pStyle w:val="Compact"/>
            </w:pPr>
            <w:r>
              <w:t xml:space="preserve">Adjusted EBITDA</w:t>
            </w:r>
          </w:p>
        </w:tc>
        <w:tc>
          <w:tcPr/>
          <w:p>
            <w:pPr>
              <w:pStyle w:val="Compact"/>
              <w:jc w:val="right"/>
            </w:pPr>
            <m:oMath>
              <m:r>
                <m:t>770</m:t>
              </m:r>
              <m:r>
                <m:t>M</m:t>
              </m:r>
              <m:r>
                <m:rPr>
                  <m:sty m:val="p"/>
                </m:rPr>
                <m:t>–</m:t>
              </m:r>
            </m:oMath>
            <w:r>
              <w:t xml:space="preserve">870M</w:t>
            </w:r>
          </w:p>
        </w:tc>
        <w:tc>
          <w:tcPr/>
          <w:p>
            <w:pPr>
              <w:pStyle w:val="Compact"/>
              <w:jc w:val="right"/>
            </w:pPr>
            <w:r>
              <w:rPr>
                <w:b/>
                <w:bCs/>
              </w:rPr>
              <w:t xml:space="preserve">$820M</w:t>
            </w:r>
          </w:p>
        </w:tc>
        <w:tc>
          <w:tcPr/>
          <w:p>
            <w:pPr>
              <w:pStyle w:val="Compact"/>
              <w:jc w:val="right"/>
            </w:pPr>
            <w:r>
              <w:t xml:space="preserve">Implies ~</w:t>
            </w:r>
            <w:r>
              <w:rPr>
                <w:b/>
                <w:bCs/>
              </w:rPr>
              <w:t xml:space="preserve">25.2%</w:t>
            </w:r>
            <w:r>
              <w:t xml:space="preserve"> </w:t>
            </w:r>
            <w:r>
              <w:t xml:space="preserve">Y/Y growth versus Q2 2025</w:t>
            </w:r>
          </w:p>
        </w:tc>
      </w:tr>
      <w:tr>
        <w:tc>
          <w:tcPr/>
          <w:p>
            <w:pPr>
              <w:pStyle w:val="Compact"/>
            </w:pPr>
            <w:r>
              <w:t xml:space="preserve">Adjusted EBITDA / GOV</w:t>
            </w:r>
          </w:p>
        </w:tc>
        <w:tc>
          <w:tcPr/>
          <w:p>
            <w:pPr>
              <w:pStyle w:val="Compact"/>
              <w:jc w:val="right"/>
            </w:pPr>
            <w:r>
              <w:t xml:space="preserve">2.38%–2.60%</w:t>
            </w:r>
          </w:p>
        </w:tc>
        <w:tc>
          <w:tcPr/>
          <w:p>
            <w:pPr>
              <w:pStyle w:val="Compact"/>
              <w:jc w:val="right"/>
            </w:pPr>
            <w:r>
              <w:rPr>
                <w:b/>
                <w:bCs/>
              </w:rPr>
              <w:t xml:space="preserve">2.49%</w:t>
            </w:r>
          </w:p>
        </w:tc>
        <w:tc>
          <w:tcPr/>
          <w:p>
            <w:pPr>
              <w:pStyle w:val="Compact"/>
              <w:jc w:val="right"/>
            </w:pPr>
            <w:r>
              <w:t xml:space="preserve">Versus 2.7% in Q2 2025 and 2.4% in Q1 2026</w:t>
            </w:r>
          </w:p>
        </w:tc>
      </w:tr>
    </w:tbl>
    <w:p>
      <w:pPr>
        <w:pStyle w:val="BodyText"/>
      </w:pPr>
      <w:r>
        <w:t xml:space="preserve">The available pre-report Street expectation is for approximately</w:t>
      </w:r>
      <w:r>
        <w:t xml:space="preserve"> </w:t>
      </w:r>
      <w:r>
        <w:rPr>
          <w:b/>
          <w:bCs/>
        </w:rPr>
        <w:t xml:space="preserve">$4.33B of revenue</w:t>
      </w:r>
      <w:r>
        <w:t xml:space="preserve">, or roughly</w:t>
      </w:r>
      <w:r>
        <w:t xml:space="preserve"> </w:t>
      </w:r>
      <w:r>
        <w:rPr>
          <w:b/>
          <w:bCs/>
        </w:rPr>
        <w:t xml:space="preserve">32% Y/Y growth</w:t>
      </w:r>
      <w:r>
        <w:t xml:space="preserve">. That would be consistent with another quarter of strong reported growth, though investors will focus heavily on the split between legacy DoorDash/Wolt growth and Deliveroo-related contribution.</w:t>
      </w:r>
    </w:p>
    <w:bookmarkEnd w:id="10"/>
    <w:bookmarkStart w:id="13" w:name="why-this-quarter-matters"/>
    <w:p>
      <w:pPr>
        <w:pStyle w:val="Heading2"/>
      </w:pPr>
      <w:r>
        <w:t xml:space="preserve">Why this quarter matters</w:t>
      </w:r>
    </w:p>
    <w:bookmarkStart w:id="11" w:name="Xd1603ced29254eae9f3f2601fc67da1366eaa53"/>
    <w:p>
      <w:pPr>
        <w:pStyle w:val="Heading3"/>
      </w:pPr>
      <w:r>
        <w:t xml:space="preserve">1. Core U.S. restaurant demand needs to remain resilient</w:t>
      </w:r>
    </w:p>
    <w:p>
      <w:pPr>
        <w:pStyle w:val="FirstParagraph"/>
      </w:pPr>
      <w:r>
        <w:t xml:space="preserve">In Q1, DoorDash said U.S. restaurant GOV growth was above its Q1 2025 pace and slightly above the average rate of the prior 16 quarters, although slower than Q4 2025. Management also said Q2 had begun well.</w:t>
      </w:r>
    </w:p>
    <w:p>
      <w:pPr>
        <w:pStyle w:val="BodyText"/>
      </w:pPr>
      <w:r>
        <w:t xml:space="preserve">For Q2, investors should look for confirmation that growth is being driven by:</w:t>
      </w:r>
    </w:p>
    <w:p>
      <w:pPr>
        <w:pStyle w:val="Compact"/>
        <w:numPr>
          <w:ilvl w:val="0"/>
          <w:numId w:val="1001"/>
        </w:numPr>
      </w:pPr>
      <w:r>
        <w:t xml:space="preserve">Continued new-consumer additions;</w:t>
      </w:r>
    </w:p>
    <w:p>
      <w:pPr>
        <w:pStyle w:val="Compact"/>
        <w:numPr>
          <w:ilvl w:val="0"/>
          <w:numId w:val="1001"/>
        </w:numPr>
      </w:pPr>
      <w:r>
        <w:t xml:space="preserve">Higher order rates from mature cohorts;</w:t>
      </w:r>
    </w:p>
    <w:p>
      <w:pPr>
        <w:pStyle w:val="Compact"/>
        <w:numPr>
          <w:ilvl w:val="0"/>
          <w:numId w:val="1001"/>
        </w:numPr>
      </w:pPr>
      <w:r>
        <w:t xml:space="preserve">Faster DashPass member growth, supported by stronger sign-ups and lower churn;</w:t>
      </w:r>
    </w:p>
    <w:p>
      <w:pPr>
        <w:pStyle w:val="Compact"/>
        <w:numPr>
          <w:ilvl w:val="0"/>
          <w:numId w:val="1001"/>
        </w:numPr>
      </w:pPr>
      <w:r>
        <w:t xml:space="preserve">Healthy restaurant selection and merchant demand.</w:t>
      </w:r>
    </w:p>
    <w:p>
      <w:pPr>
        <w:pStyle w:val="FirstParagraph"/>
      </w:pPr>
      <w:r>
        <w:t xml:space="preserve">A material deceleration in U.S. restaurants would be the clearest threat to the near-term bull case, especially because the stock increasingly reflects confidence in DoorDash’s core-market durability.</w:t>
      </w:r>
    </w:p>
    <w:bookmarkEnd w:id="11"/>
    <w:bookmarkStart w:id="12" w:name="X5ec181c6d41c9de385fdd693cc14c015ec4fe88"/>
    <w:p>
      <w:pPr>
        <w:pStyle w:val="Heading3"/>
      </w:pPr>
      <w:r>
        <w:t xml:space="preserve">2. Marketplace GOV is the headline metric—but the quality of GOV matters more</w:t>
      </w:r>
    </w:p>
    <w:p>
      <w:pPr>
        <w:pStyle w:val="FirstParagraph"/>
      </w:pPr>
      <w:r>
        <w:t xml:space="preserve">The midpoint of Q2 GOV guidance implies roughly 36% Y/Y growth, with Deliveroo included. That headline will look strong, but investors should separate:</w:t>
      </w:r>
    </w:p>
    <w:p>
      <w:pPr>
        <w:pStyle w:val="Compact"/>
        <w:numPr>
          <w:ilvl w:val="0"/>
          <w:numId w:val="1002"/>
        </w:numPr>
      </w:pPr>
      <w:r>
        <w:rPr>
          <w:b/>
          <w:bCs/>
        </w:rPr>
        <w:t xml:space="preserve">Organic/legacy marketplace performance</w:t>
      </w:r>
    </w:p>
    <w:p>
      <w:pPr>
        <w:pStyle w:val="Compact"/>
        <w:numPr>
          <w:ilvl w:val="0"/>
          <w:numId w:val="1002"/>
        </w:numPr>
      </w:pPr>
      <w:r>
        <w:rPr>
          <w:b/>
          <w:bCs/>
        </w:rPr>
        <w:t xml:space="preserve">Deliveroo’s acquired contribution</w:t>
      </w:r>
    </w:p>
    <w:p>
      <w:pPr>
        <w:pStyle w:val="Compact"/>
        <w:numPr>
          <w:ilvl w:val="0"/>
          <w:numId w:val="1002"/>
        </w:numPr>
      </w:pPr>
      <w:r>
        <w:rPr>
          <w:b/>
          <w:bCs/>
        </w:rPr>
        <w:t xml:space="preserve">Foreign-exchange effects</w:t>
      </w:r>
    </w:p>
    <w:p>
      <w:pPr>
        <w:pStyle w:val="Compact"/>
        <w:numPr>
          <w:ilvl w:val="0"/>
          <w:numId w:val="1002"/>
        </w:numPr>
      </w:pPr>
      <w:r>
        <w:rPr>
          <w:b/>
          <w:bCs/>
        </w:rPr>
        <w:t xml:space="preserve">The conversion of GOV into revenue and profit</w:t>
      </w:r>
    </w:p>
    <w:p>
      <w:pPr>
        <w:pStyle w:val="FirstParagraph"/>
      </w:pPr>
      <w:r>
        <w:t xml:space="preserve">In Q1, Deliveroo contributed $362M of revenue, while DoorDash’s revenue excluding Deliveroo still rose 21% Y/Y. Investors should want evidence that the legacy business remains healthy enough that the acquisition is enhancing—not masking—the growth profile.</w:t>
      </w:r>
    </w:p>
    <w:bookmarkEnd w:id="12"/>
    <w:bookmarkEnd w:id="13"/>
    <w:bookmarkStart w:id="16" w:name="Xec495b982392670903c193a3b5aa59631efb569"/>
    <w:p>
      <w:pPr>
        <w:pStyle w:val="Heading2"/>
      </w:pPr>
      <w:r>
        <w:t xml:space="preserve">The key swing factor: margins amid deliberate investment</w:t>
      </w:r>
    </w:p>
    <w:p>
      <w:pPr>
        <w:pStyle w:val="FirstParagraph"/>
      </w:pPr>
      <w:r>
        <w:t xml:space="preserve">DoorDash is in a period of purposeful reinvestment. The Q2 print will test whether management can balance growth initiatives with incremental profitability.</w:t>
      </w:r>
    </w:p>
    <w:bookmarkStart w:id="14" w:name="X3b425ac48df8d00f848cecc899b36b2fb5042ff"/>
    <w:p>
      <w:pPr>
        <w:pStyle w:val="Heading3"/>
      </w:pPr>
      <w:r>
        <w:t xml:space="preserve">Known Q2 margin pressure: Dasher gas relief</w:t>
      </w:r>
    </w:p>
    <w:p>
      <w:pPr>
        <w:pStyle w:val="FirstParagraph"/>
      </w:pPr>
      <w:r>
        <w:t xml:space="preserve">Management previously expected the</w:t>
      </w:r>
      <w:r>
        <w:t xml:space="preserve"> </w:t>
      </w:r>
      <w:r>
        <w:rPr>
          <w:b/>
          <w:bCs/>
        </w:rPr>
        <w:t xml:space="preserve">gross cost of its Dasher gas-relief program to exceed $50M in Q2</w:t>
      </w:r>
      <w:r>
        <w:t xml:space="preserve">. It said it would partially fund that cost by shifting other investments, while maintaining its outlook for slightly higher full-year adjusted EBITDA margin—excluding Deliveroo—versus 2025.</w:t>
      </w:r>
    </w:p>
    <w:p>
      <w:pPr>
        <w:pStyle w:val="BodyText"/>
      </w:pPr>
      <w:r>
        <w:t xml:space="preserve">The relevant questions are:</w:t>
      </w:r>
    </w:p>
    <w:p>
      <w:pPr>
        <w:pStyle w:val="Compact"/>
        <w:numPr>
          <w:ilvl w:val="0"/>
          <w:numId w:val="1003"/>
        </w:numPr>
      </w:pPr>
      <w:r>
        <w:t xml:space="preserve">Did the gas-relief cost land near the expected ~$50M level?</w:t>
      </w:r>
    </w:p>
    <w:p>
      <w:pPr>
        <w:pStyle w:val="Compact"/>
        <w:numPr>
          <w:ilvl w:val="0"/>
          <w:numId w:val="1003"/>
        </w:numPr>
      </w:pPr>
      <w:r>
        <w:t xml:space="preserve">Were offsets achieved without impairing growth investments?</w:t>
      </w:r>
    </w:p>
    <w:p>
      <w:pPr>
        <w:pStyle w:val="Compact"/>
        <w:numPr>
          <w:ilvl w:val="0"/>
          <w:numId w:val="1003"/>
        </w:numPr>
      </w:pPr>
      <w:r>
        <w:t xml:space="preserve">Has the program been extended beyond Q2?</w:t>
      </w:r>
    </w:p>
    <w:p>
      <w:pPr>
        <w:pStyle w:val="Compact"/>
        <w:numPr>
          <w:ilvl w:val="0"/>
          <w:numId w:val="1003"/>
        </w:numPr>
      </w:pPr>
      <w:r>
        <w:t xml:space="preserve">Does management still expect second-half EBITDA dollars and margins to exceed first-half levels?</w:t>
      </w:r>
    </w:p>
    <w:p>
      <w:pPr>
        <w:pStyle w:val="FirstParagraph"/>
      </w:pPr>
      <w:r>
        <w:t xml:space="preserve">An EBITDA result near or above the top end of guidance would reinforce confidence in DoorDash’s operating flexibility. A result within the range but accompanied by a weaker margin outlook could be received poorly.</w:t>
      </w:r>
    </w:p>
    <w:bookmarkEnd w:id="14"/>
    <w:bookmarkStart w:id="15" w:name="X2ef588b48effb03ae55dd9e36a082bf8fcc1585"/>
    <w:p>
      <w:pPr>
        <w:pStyle w:val="Heading3"/>
      </w:pPr>
      <w:r>
        <w:t xml:space="preserve">The global tech platform is strategically attractive—but expensive today</w:t>
      </w:r>
    </w:p>
    <w:p>
      <w:pPr>
        <w:pStyle w:val="FirstParagraph"/>
      </w:pPr>
      <w:r>
        <w:t xml:space="preserve">DoorDash is moving DoorDash, Wolt, and Deliveroo onto one global technology platform. Management has characterized the project as a several-hundred-million-dollar investment and said it expects most redundant platform costs to persist through 2026, with some potentially extending into early 2027.</w:t>
      </w:r>
    </w:p>
    <w:p>
      <w:pPr>
        <w:pStyle w:val="BodyText"/>
      </w:pPr>
      <w:r>
        <w:t xml:space="preserve">The long-term rationale is compelling:</w:t>
      </w:r>
    </w:p>
    <w:p>
      <w:pPr>
        <w:pStyle w:val="Compact"/>
        <w:numPr>
          <w:ilvl w:val="0"/>
          <w:numId w:val="1004"/>
        </w:numPr>
      </w:pPr>
      <w:r>
        <w:t xml:space="preserve">Faster feature deployment across all brands;</w:t>
      </w:r>
    </w:p>
    <w:p>
      <w:pPr>
        <w:pStyle w:val="Compact"/>
        <w:numPr>
          <w:ilvl w:val="0"/>
          <w:numId w:val="1004"/>
        </w:numPr>
      </w:pPr>
      <w:r>
        <w:t xml:space="preserve">Better product quality and logistics capabilities;</w:t>
      </w:r>
    </w:p>
    <w:p>
      <w:pPr>
        <w:pStyle w:val="Compact"/>
        <w:numPr>
          <w:ilvl w:val="0"/>
          <w:numId w:val="1004"/>
        </w:numPr>
      </w:pPr>
      <w:r>
        <w:t xml:space="preserve">Less duplicative technology spending over time;</w:t>
      </w:r>
    </w:p>
    <w:p>
      <w:pPr>
        <w:pStyle w:val="Compact"/>
        <w:numPr>
          <w:ilvl w:val="0"/>
          <w:numId w:val="1004"/>
        </w:numPr>
      </w:pPr>
      <w:r>
        <w:t xml:space="preserve">More efficient rollout of AI-enabled tools, merchant products, and operational improvements.</w:t>
      </w:r>
    </w:p>
    <w:p>
      <w:pPr>
        <w:pStyle w:val="FirstParagraph"/>
      </w:pPr>
      <w:r>
        <w:t xml:space="preserve">But investors will likely press for tangible proof points: production traffic, early cost/productivity benefits, implementation milestones, and the timing of any meaningful reduction in redundant spend.</w:t>
      </w:r>
    </w:p>
    <w:bookmarkEnd w:id="15"/>
    <w:bookmarkEnd w:id="16"/>
    <w:bookmarkStart w:id="17" w:name="Xd9ae4ebd676a1d78250c749de6fe67fc2ca1c49"/>
    <w:p>
      <w:pPr>
        <w:pStyle w:val="Heading2"/>
      </w:pPr>
      <w:r>
        <w:t xml:space="preserve">New verticals: watch grocery and retail engagement, not just profitability</w:t>
      </w:r>
    </w:p>
    <w:p>
      <w:pPr>
        <w:pStyle w:val="FirstParagraph"/>
      </w:pPr>
      <w:r>
        <w:t xml:space="preserve">Grocery and retail remain major upside opportunities. DoorDash has said it is the volume-share leader in U.S. grocery delivery and that approximately</w:t>
      </w:r>
      <w:r>
        <w:t xml:space="preserve"> </w:t>
      </w:r>
      <w:r>
        <w:rPr>
          <w:b/>
          <w:bCs/>
        </w:rPr>
        <w:t xml:space="preserve">30% of monthly active users</w:t>
      </w:r>
      <w:r>
        <w:t xml:space="preserve"> </w:t>
      </w:r>
      <w:r>
        <w:t xml:space="preserve">already order from categories beyond restaurants.</w:t>
      </w:r>
    </w:p>
    <w:p>
      <w:pPr>
        <w:pStyle w:val="BodyText"/>
      </w:pPr>
      <w:r>
        <w:t xml:space="preserve">The company expected its aggregate new-verticals portfolio to reach</w:t>
      </w:r>
      <w:r>
        <w:t xml:space="preserve"> </w:t>
      </w:r>
      <w:r>
        <w:rPr>
          <w:b/>
          <w:bCs/>
        </w:rPr>
        <w:t xml:space="preserve">gross-profit positivity in the second half of 2026</w:t>
      </w:r>
      <w:r>
        <w:t xml:space="preserve">. Therefore, Q2 commentary should help frame whether that goal remains on track.</w:t>
      </w:r>
    </w:p>
    <w:p>
      <w:pPr>
        <w:pStyle w:val="BodyText"/>
      </w:pPr>
      <w:r>
        <w:t xml:space="preserve">Key indicators to monitor:</w:t>
      </w:r>
    </w:p>
    <w:p>
      <w:pPr>
        <w:pStyle w:val="Compact"/>
        <w:numPr>
          <w:ilvl w:val="0"/>
          <w:numId w:val="1005"/>
        </w:numPr>
      </w:pPr>
      <w:r>
        <w:t xml:space="preserve">Growth in grocery/retail GOV and basket size;</w:t>
      </w:r>
    </w:p>
    <w:p>
      <w:pPr>
        <w:pStyle w:val="Compact"/>
        <w:numPr>
          <w:ilvl w:val="0"/>
          <w:numId w:val="1005"/>
        </w:numPr>
      </w:pPr>
      <w:r>
        <w:t xml:space="preserve">New merchant additions and assortment expansion;</w:t>
      </w:r>
    </w:p>
    <w:p>
      <w:pPr>
        <w:pStyle w:val="Compact"/>
        <w:numPr>
          <w:ilvl w:val="0"/>
          <w:numId w:val="1005"/>
        </w:numPr>
      </w:pPr>
      <w:r>
        <w:t xml:space="preserve">Customer experience gains: availability, substitutions, accuracy, pricing, and delivery quality;</w:t>
      </w:r>
    </w:p>
    <w:p>
      <w:pPr>
        <w:pStyle w:val="Compact"/>
        <w:numPr>
          <w:ilvl w:val="0"/>
          <w:numId w:val="1005"/>
        </w:numPr>
      </w:pPr>
      <w:r>
        <w:t xml:space="preserve">Adoption and expansion of DashMart Fulfillment Services;</w:t>
      </w:r>
    </w:p>
    <w:p>
      <w:pPr>
        <w:pStyle w:val="Compact"/>
        <w:numPr>
          <w:ilvl w:val="0"/>
          <w:numId w:val="1005"/>
        </w:numPr>
      </w:pPr>
      <w:r>
        <w:t xml:space="preserve">Whether repeat cohorts are improving toward attractive unit economics.</w:t>
      </w:r>
    </w:p>
    <w:p>
      <w:pPr>
        <w:pStyle w:val="FirstParagraph"/>
      </w:pPr>
      <w:r>
        <w:t xml:space="preserve">The most constructive outcome would be continued high growth alongside management’s confirmation that profitability is improving through scale and execution—not through a disproportionate increase in advertising load or reduced consumer value.</w:t>
      </w:r>
    </w:p>
    <w:bookmarkEnd w:id="17"/>
    <w:bookmarkStart w:id="18" w:name="X8af0647f747840e8bc1cbcd676610d0bf3e8a64"/>
    <w:p>
      <w:pPr>
        <w:pStyle w:val="Heading2"/>
      </w:pPr>
      <w:r>
        <w:t xml:space="preserve">Advertising is an underappreciated earnings lever</w:t>
      </w:r>
    </w:p>
    <w:p>
      <w:pPr>
        <w:pStyle w:val="FirstParagraph"/>
      </w:pPr>
      <w:r>
        <w:t xml:space="preserve">Management called the ads business a record performer in Q1, with rapid growth across small merchants, larger restaurant and retail advertisers, and CPG brands. Ads can support profitability, but DoorDash’s stated approach is to reinvest much of the benefit into product, selection, affordability, and growth.</w:t>
      </w:r>
    </w:p>
    <w:p>
      <w:pPr>
        <w:pStyle w:val="BodyText"/>
      </w:pPr>
      <w:r>
        <w:t xml:space="preserve">For the call, investors should listen for:</w:t>
      </w:r>
    </w:p>
    <w:p>
      <w:pPr>
        <w:pStyle w:val="Compact"/>
        <w:numPr>
          <w:ilvl w:val="0"/>
          <w:numId w:val="1006"/>
        </w:numPr>
      </w:pPr>
      <w:r>
        <w:t xml:space="preserve">Evidence of sustained advertiser demand and return on ad spend;</w:t>
      </w:r>
    </w:p>
    <w:p>
      <w:pPr>
        <w:pStyle w:val="Compact"/>
        <w:numPr>
          <w:ilvl w:val="0"/>
          <w:numId w:val="1006"/>
        </w:numPr>
      </w:pPr>
      <w:r>
        <w:t xml:space="preserve">Progress in CPG and retail-media monetization;</w:t>
      </w:r>
    </w:p>
    <w:p>
      <w:pPr>
        <w:pStyle w:val="Compact"/>
        <w:numPr>
          <w:ilvl w:val="0"/>
          <w:numId w:val="1006"/>
        </w:numPr>
      </w:pPr>
      <w:r>
        <w:t xml:space="preserve">Expansion of off-platform or in-store advertising products;</w:t>
      </w:r>
    </w:p>
    <w:p>
      <w:pPr>
        <w:pStyle w:val="Compact"/>
        <w:numPr>
          <w:ilvl w:val="0"/>
          <w:numId w:val="1006"/>
        </w:numPr>
      </w:pPr>
      <w:r>
        <w:t xml:space="preserve">The balance between ad revenue growth and consumer-experience protection.</w:t>
      </w:r>
    </w:p>
    <w:p>
      <w:pPr>
        <w:pStyle w:val="FirstParagraph"/>
      </w:pPr>
      <w:r>
        <w:t xml:space="preserve">Advertising upside could help offset spending on new categories, Deliveroo integration, and the global platform without forcing an abrupt reduction in investment.</w:t>
      </w:r>
    </w:p>
    <w:bookmarkEnd w:id="18"/>
    <w:bookmarkStart w:id="19" w:name="Xaceb85e6a4d373ea7739a9497661cd4523c8d31"/>
    <w:p>
      <w:pPr>
        <w:pStyle w:val="Heading2"/>
      </w:pPr>
      <w:r>
        <w:t xml:space="preserve">Deliveroo: early momentum versus integration risk</w:t>
      </w:r>
    </w:p>
    <w:p>
      <w:pPr>
        <w:pStyle w:val="FirstParagraph"/>
      </w:pPr>
      <w:r>
        <w:t xml:space="preserve">Deliveroo is central to the reported growth narrative. In Q1, DoorDash said Deliveroo’s MAU and order growth had accelerated, with faster GOV growth in the U.K., France, and Italy. It continues to expect Deliveroo to contribute about</w:t>
      </w:r>
      <w:r>
        <w:t xml:space="preserve"> </w:t>
      </w:r>
      <w:r>
        <w:rPr>
          <w:b/>
          <w:bCs/>
        </w:rPr>
        <w:t xml:space="preserve">$200M of adjusted EBITDA in 2026</w:t>
      </w:r>
      <w:r>
        <w:t xml:space="preserve">.</w:t>
      </w:r>
    </w:p>
    <w:p>
      <w:pPr>
        <w:pStyle w:val="BodyText"/>
      </w:pPr>
      <w:r>
        <w:t xml:space="preserve">The Q2 report should clarify:</w:t>
      </w:r>
    </w:p>
    <w:p>
      <w:pPr>
        <w:pStyle w:val="Compact"/>
        <w:numPr>
          <w:ilvl w:val="0"/>
          <w:numId w:val="1007"/>
        </w:numPr>
      </w:pPr>
      <w:r>
        <w:t xml:space="preserve">Whether Deliveroo’s demand acceleration persisted;</w:t>
      </w:r>
    </w:p>
    <w:p>
      <w:pPr>
        <w:pStyle w:val="Compact"/>
        <w:numPr>
          <w:ilvl w:val="0"/>
          <w:numId w:val="1007"/>
        </w:numPr>
      </w:pPr>
      <w:r>
        <w:t xml:space="preserve">Its contribution to GOV, revenue, and adjusted EBITDA;</w:t>
      </w:r>
    </w:p>
    <w:p>
      <w:pPr>
        <w:pStyle w:val="Compact"/>
        <w:numPr>
          <w:ilvl w:val="0"/>
          <w:numId w:val="1007"/>
        </w:numPr>
      </w:pPr>
      <w:r>
        <w:t xml:space="preserve">The pace of integration and early technology/platform benefits;</w:t>
      </w:r>
    </w:p>
    <w:p>
      <w:pPr>
        <w:pStyle w:val="Compact"/>
        <w:numPr>
          <w:ilvl w:val="0"/>
          <w:numId w:val="1007"/>
        </w:numPr>
      </w:pPr>
      <w:r>
        <w:t xml:space="preserve">Whether competitive conditions in European delivery markets are changing;</w:t>
      </w:r>
    </w:p>
    <w:p>
      <w:pPr>
        <w:pStyle w:val="Compact"/>
        <w:numPr>
          <w:ilvl w:val="0"/>
          <w:numId w:val="1007"/>
        </w:numPr>
      </w:pPr>
      <w:r>
        <w:t xml:space="preserve">Whether management’s full-year Deliveroo EBITDA target remains intact.</w:t>
      </w:r>
    </w:p>
    <w:p>
      <w:pPr>
        <w:pStyle w:val="FirstParagraph"/>
      </w:pPr>
      <w:r>
        <w:t xml:space="preserve">A positive Deliveroo update would validate DoorDash’s ability to operate a larger global portfolio. Conversely, integration costs, competitive pressure, or weaker-than-expected economics could undermine the market’s willingness to capitalize acquired growth at a premium.</w:t>
      </w:r>
    </w:p>
    <w:bookmarkEnd w:id="19"/>
    <w:bookmarkStart w:id="20" w:name="X7df460ee7442688ff3dd7afa21b814ced132125"/>
    <w:p>
      <w:pPr>
        <w:pStyle w:val="Heading2"/>
      </w:pPr>
      <w:r>
        <w:t xml:space="preserve">Secondary items likely to arise on the call</w:t>
      </w:r>
    </w:p>
    <w:p>
      <w:pPr>
        <w:pStyle w:val="Compact"/>
        <w:numPr>
          <w:ilvl w:val="0"/>
          <w:numId w:val="1008"/>
        </w:numPr>
      </w:pPr>
      <w:r>
        <w:rPr>
          <w:b/>
          <w:bCs/>
        </w:rPr>
        <w:t xml:space="preserve">AI and agentic commerce:</w:t>
      </w:r>
      <w:r>
        <w:t xml:space="preserve"> </w:t>
      </w:r>
      <w:r>
        <w:t xml:space="preserve">Management views its merchant catalog, logistics network, and end-to-end fulfillment experience as advantages rather than sources of disintermediation risk. Investors will want concrete evidence that AI improves conversion, support, merchant onboarding, and productivity.</w:t>
      </w:r>
    </w:p>
    <w:p>
      <w:pPr>
        <w:pStyle w:val="Compact"/>
        <w:numPr>
          <w:ilvl w:val="0"/>
          <w:numId w:val="1008"/>
        </w:numPr>
      </w:pPr>
      <w:r>
        <w:rPr>
          <w:b/>
          <w:bCs/>
        </w:rPr>
        <w:t xml:space="preserve">Autonomy:</w:t>
      </w:r>
      <w:r>
        <w:t xml:space="preserve"> </w:t>
      </w:r>
      <w:r>
        <w:t xml:space="preserve">DoorDash recently received FAA certification supporting commercial drone-delivery operations and is developing DoorDash Air. Strategically interesting, but unlikely to affect near-term earnings materially.</w:t>
      </w:r>
    </w:p>
    <w:p>
      <w:pPr>
        <w:pStyle w:val="Compact"/>
        <w:numPr>
          <w:ilvl w:val="0"/>
          <w:numId w:val="1008"/>
        </w:numPr>
      </w:pPr>
      <w:r>
        <w:rPr>
          <w:b/>
          <w:bCs/>
        </w:rPr>
        <w:t xml:space="preserve">Regulatory attention around AI:</w:t>
      </w:r>
      <w:r>
        <w:t xml:space="preserve"> </w:t>
      </w:r>
      <w:r>
        <w:t xml:space="preserve">U.S. lawmakers recently requested information regarding DoorDash’s use of Chinese AI models. This is unlikely to change Q2 financials, but management may be asked about governance, data security, model usage, and any prospective compliance costs.</w:t>
      </w:r>
    </w:p>
    <w:p>
      <w:pPr>
        <w:pStyle w:val="Compact"/>
        <w:numPr>
          <w:ilvl w:val="0"/>
          <w:numId w:val="1008"/>
        </w:numPr>
      </w:pPr>
      <w:r>
        <w:rPr>
          <w:b/>
          <w:bCs/>
        </w:rPr>
        <w:t xml:space="preserve">Capital allocation:</w:t>
      </w:r>
      <w:r>
        <w:t xml:space="preserve"> </w:t>
      </w:r>
      <w:r>
        <w:t xml:space="preserve">DoorDash had roughly</w:t>
      </w:r>
      <w:r>
        <w:t xml:space="preserve"> </w:t>
      </w:r>
      <w:r>
        <w:rPr>
          <w:b/>
          <w:bCs/>
        </w:rPr>
        <w:t xml:space="preserve">$4.8B</w:t>
      </w:r>
      <w:r>
        <w:t xml:space="preserve"> </w:t>
      </w:r>
      <w:r>
        <w:t xml:space="preserve">remaining on its repurchase authorization after Q1 activity. Repurchase pace, stock-based compensation, and the trajectory of free cash flow remain relevant to dilution-adjusted value creation.</w:t>
      </w:r>
    </w:p>
    <w:bookmarkEnd w:id="20"/>
    <w:bookmarkStart w:id="21" w:name="what-would-constitute-a-bullish-result"/>
    <w:p>
      <w:pPr>
        <w:pStyle w:val="Heading2"/>
      </w:pPr>
      <w:r>
        <w:t xml:space="preserve">What would constitute a bullish result?</w:t>
      </w:r>
    </w:p>
    <w:p>
      <w:pPr>
        <w:pStyle w:val="FirstParagraph"/>
      </w:pPr>
      <w:r>
        <w:t xml:space="preserve">A strong result would likely include:</w:t>
      </w:r>
    </w:p>
    <w:p>
      <w:pPr>
        <w:pStyle w:val="Compact"/>
        <w:numPr>
          <w:ilvl w:val="0"/>
          <w:numId w:val="1009"/>
        </w:numPr>
      </w:pPr>
      <w:r>
        <w:rPr>
          <w:b/>
          <w:bCs/>
        </w:rPr>
        <w:t xml:space="preserve">GOV and revenue at or above the upper half of guidance/expectations</w:t>
      </w:r>
      <w:r>
        <w:t xml:space="preserve">;</w:t>
      </w:r>
    </w:p>
    <w:p>
      <w:pPr>
        <w:pStyle w:val="Compact"/>
        <w:numPr>
          <w:ilvl w:val="0"/>
          <w:numId w:val="1009"/>
        </w:numPr>
      </w:pPr>
      <w:r>
        <w:t xml:space="preserve">Clear evidence that U.S. restaurant demand and DashPass engagement remain robust;</w:t>
      </w:r>
    </w:p>
    <w:p>
      <w:pPr>
        <w:pStyle w:val="Compact"/>
        <w:numPr>
          <w:ilvl w:val="0"/>
          <w:numId w:val="1009"/>
        </w:numPr>
      </w:pPr>
      <w:r>
        <w:t xml:space="preserve">Adjusted EBITDA near the high end of the</w:t>
      </w:r>
      <w:r>
        <w:t xml:space="preserve"> </w:t>
      </w:r>
      <m:oMath>
        <m:r>
          <m:t>770</m:t>
        </m:r>
        <m:r>
          <m:t>M</m:t>
        </m:r>
        <m:r>
          <m:rPr>
            <m:sty m:val="p"/>
          </m:rPr>
          <m:t>–</m:t>
        </m:r>
      </m:oMath>
      <w:r>
        <w:t xml:space="preserve">870M range despite gas-relief costs;</w:t>
      </w:r>
    </w:p>
    <w:p>
      <w:pPr>
        <w:pStyle w:val="Compact"/>
        <w:numPr>
          <w:ilvl w:val="0"/>
          <w:numId w:val="1009"/>
        </w:numPr>
      </w:pPr>
      <w:r>
        <w:t xml:space="preserve">Reaffirmation of higher second-half EBITDA dollars and margins;</w:t>
      </w:r>
    </w:p>
    <w:p>
      <w:pPr>
        <w:pStyle w:val="Compact"/>
        <w:numPr>
          <w:ilvl w:val="0"/>
          <w:numId w:val="1009"/>
        </w:numPr>
      </w:pPr>
      <w:r>
        <w:t xml:space="preserve">Confirmation that new verticals remain on track for second-half gross-profit positivity;</w:t>
      </w:r>
    </w:p>
    <w:p>
      <w:pPr>
        <w:pStyle w:val="Compact"/>
        <w:numPr>
          <w:ilvl w:val="0"/>
          <w:numId w:val="1009"/>
        </w:numPr>
      </w:pPr>
      <w:r>
        <w:t xml:space="preserve">Continued Deliveroo acceleration and reaffirmation of its ~$200M full-year EBITDA contribution;</w:t>
      </w:r>
    </w:p>
    <w:p>
      <w:pPr>
        <w:pStyle w:val="Compact"/>
        <w:numPr>
          <w:ilvl w:val="0"/>
          <w:numId w:val="1009"/>
        </w:numPr>
      </w:pPr>
      <w:r>
        <w:t xml:space="preserve">Specific signs that the global platform is delivering early product velocity or cost benefits.</w:t>
      </w:r>
    </w:p>
    <w:bookmarkEnd w:id="21"/>
    <w:bookmarkStart w:id="22" w:name="what-could-disappoint-investors"/>
    <w:p>
      <w:pPr>
        <w:pStyle w:val="Heading2"/>
      </w:pPr>
      <w:r>
        <w:t xml:space="preserve">What could disappoint investors?</w:t>
      </w:r>
    </w:p>
    <w:p>
      <w:pPr>
        <w:pStyle w:val="FirstParagraph"/>
      </w:pPr>
      <w:r>
        <w:t xml:space="preserve">The principal downside risks are:</w:t>
      </w:r>
    </w:p>
    <w:p>
      <w:pPr>
        <w:pStyle w:val="Compact"/>
        <w:numPr>
          <w:ilvl w:val="0"/>
          <w:numId w:val="1010"/>
        </w:numPr>
      </w:pPr>
      <w:r>
        <w:t xml:space="preserve">Core U.S. restaurant demand moderating more sharply than expected;</w:t>
      </w:r>
    </w:p>
    <w:p>
      <w:pPr>
        <w:pStyle w:val="Compact"/>
        <w:numPr>
          <w:ilvl w:val="0"/>
          <w:numId w:val="1010"/>
        </w:numPr>
      </w:pPr>
      <w:r>
        <w:t xml:space="preserve">GOV growth relying too heavily on Deliveroo rather than healthy legacy growth;</w:t>
      </w:r>
    </w:p>
    <w:p>
      <w:pPr>
        <w:pStyle w:val="Compact"/>
        <w:numPr>
          <w:ilvl w:val="0"/>
          <w:numId w:val="1010"/>
        </w:numPr>
      </w:pPr>
      <w:r>
        <w:t xml:space="preserve">EBITDA only meeting the low end of guidance, particularly if gas-relief or investment costs persist;</w:t>
      </w:r>
    </w:p>
    <w:p>
      <w:pPr>
        <w:pStyle w:val="Compact"/>
        <w:numPr>
          <w:ilvl w:val="0"/>
          <w:numId w:val="1010"/>
        </w:numPr>
      </w:pPr>
      <w:r>
        <w:t xml:space="preserve">A reduced full-year margin outlook or an extended period of redundant technology costs;</w:t>
      </w:r>
    </w:p>
    <w:p>
      <w:pPr>
        <w:pStyle w:val="Compact"/>
        <w:numPr>
          <w:ilvl w:val="0"/>
          <w:numId w:val="1010"/>
        </w:numPr>
      </w:pPr>
      <w:r>
        <w:t xml:space="preserve">Delayed progress toward new-vertical profitability;</w:t>
      </w:r>
    </w:p>
    <w:p>
      <w:pPr>
        <w:pStyle w:val="Compact"/>
        <w:numPr>
          <w:ilvl w:val="0"/>
          <w:numId w:val="1010"/>
        </w:numPr>
      </w:pPr>
      <w:r>
        <w:t xml:space="preserve">Evidence that European competition or Deliveroo integration is more difficult than anticipated;</w:t>
      </w:r>
    </w:p>
    <w:p>
      <w:pPr>
        <w:pStyle w:val="Compact"/>
        <w:numPr>
          <w:ilvl w:val="0"/>
          <w:numId w:val="1010"/>
        </w:numPr>
      </w:pPr>
      <w:r>
        <w:t xml:space="preserve">More cautious commentary on consumer spending, order frequency, or advertising demand.</w:t>
      </w:r>
    </w:p>
    <w:bookmarkEnd w:id="22"/>
    <w:bookmarkStart w:id="24" w:name="bottom-line"/>
    <w:p>
      <w:pPr>
        <w:pStyle w:val="Heading2"/>
      </w:pPr>
      <w:r>
        <w:t xml:space="preserve">Bottom line</w:t>
      </w:r>
    </w:p>
    <w:p>
      <w:pPr>
        <w:pStyle w:val="FirstParagraph"/>
      </w:pPr>
      <w:r>
        <w:t xml:space="preserve">DoorDash’s Q2 report is best viewed as a test of</w:t>
      </w:r>
      <w:r>
        <w:t xml:space="preserve"> </w:t>
      </w:r>
      <w:r>
        <w:rPr>
          <w:b/>
          <w:bCs/>
        </w:rPr>
        <w:t xml:space="preserve">execution quality rather than raw growth</w:t>
      </w:r>
      <w:r>
        <w:t xml:space="preserve">. The company has multiple credible growth engines—core restaurants, membership, grocery/retail, advertising, international expansion, and merchant software—but it is also funding several large strategic initiatives at once.</w:t>
      </w:r>
    </w:p>
    <w:p>
      <w:pPr>
        <w:pStyle w:val="BodyText"/>
      </w:pPr>
      <w:r>
        <w:t xml:space="preserve">The most important message for investors will be whether management can show that these investments are</w:t>
      </w:r>
      <w:r>
        <w:t xml:space="preserve"> </w:t>
      </w:r>
      <w:r>
        <w:rPr>
          <w:b/>
          <w:bCs/>
        </w:rPr>
        <w:t xml:space="preserve">expanding the platform’s long-term earnings power while keeping 2026 margin progression intact</w:t>
      </w:r>
      <w:r>
        <w:t xml:space="preserve">. With the shares having rallied materially into the print, a solid quarter may not be enough: the market is likely to reward a combination of sustained core demand, margin resilience, and a confident second-half outlook.</w:t>
      </w:r>
    </w:p>
    <w:bookmarkStart w:id="23" w:name="research-basis"/>
    <w:p>
      <w:pPr>
        <w:pStyle w:val="Heading3"/>
      </w:pPr>
      <w:r>
        <w:t xml:space="preserve">Research basis</w:t>
      </w:r>
    </w:p>
    <w:p>
      <w:pPr>
        <w:pStyle w:val="Compact"/>
        <w:numPr>
          <w:ilvl w:val="0"/>
          <w:numId w:val="1011"/>
        </w:numPr>
      </w:pPr>
      <w:r>
        <w:t xml:space="preserve">DoorDash Q1 2026 earnings release and conference-call transcript, May 6, 2026</w:t>
      </w:r>
    </w:p>
    <w:p>
      <w:pPr>
        <w:pStyle w:val="Compact"/>
        <w:numPr>
          <w:ilvl w:val="0"/>
          <w:numId w:val="1011"/>
        </w:numPr>
      </w:pPr>
      <w:r>
        <w:t xml:space="preserve">DoorDash Q1 2026 Form 10-Q</w:t>
      </w:r>
    </w:p>
    <w:p>
      <w:pPr>
        <w:pStyle w:val="Compact"/>
        <w:numPr>
          <w:ilvl w:val="0"/>
          <w:numId w:val="1011"/>
        </w:numPr>
      </w:pPr>
      <w:r>
        <w:t xml:space="preserve">Pre-earnings company news and market data through August 4, 2026</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2026-08-05T00:54:40Z</dcterms:created>
  <dcterms:modified xsi:type="dcterms:W3CDTF">2026-08-05T00:54:40Z</dcterms:modified>
</cp:coreProperties>
</file>

<file path=docProps/custom.xml><?xml version="1.0" encoding="utf-8"?>
<Properties xmlns="http://schemas.openxmlformats.org/officeDocument/2006/custom-properties" xmlns:vt="http://schemas.openxmlformats.org/officeDocument/2006/docPropsVTypes"/>
</file>